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36D3D" w14:textId="7FEA8E61"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AC66AB" w:rsidRPr="00936875">
        <w:t>10</w:t>
      </w:r>
      <w:r w:rsidR="00AC66AB">
        <w:t>8</w:t>
      </w:r>
      <w:r w:rsidRPr="00CE0424">
        <w:tab/>
      </w:r>
      <w:r w:rsidRPr="004A339E">
        <w:rPr>
          <w:sz w:val="32"/>
          <w:szCs w:val="32"/>
        </w:rPr>
        <w:t xml:space="preserve">Tdoc </w:t>
      </w:r>
      <w:r w:rsidR="002B3A29" w:rsidRPr="004A339E">
        <w:rPr>
          <w:sz w:val="32"/>
          <w:szCs w:val="32"/>
        </w:rPr>
        <w:t>R2-</w:t>
      </w:r>
      <w:r w:rsidR="004A339E" w:rsidRPr="004A339E">
        <w:rPr>
          <w:sz w:val="32"/>
          <w:szCs w:val="32"/>
        </w:rPr>
        <w:t>1915396</w:t>
      </w:r>
    </w:p>
    <w:p w14:paraId="7082ADED" w14:textId="37EE393B" w:rsidR="00E90E49" w:rsidRPr="00CE0424" w:rsidRDefault="00AC66AB" w:rsidP="00311702">
      <w:pPr>
        <w:pStyle w:val="3GPPHeader"/>
      </w:pPr>
      <w:r>
        <w:t>Reno, Nevada, US, 18 – 22 November 2019</w:t>
      </w:r>
      <w:r w:rsidR="00151654">
        <w:tab/>
        <w:t>Revision of R2-</w:t>
      </w:r>
      <w:r w:rsidRPr="006B6750">
        <w:t>19</w:t>
      </w:r>
      <w:r>
        <w:t>13114</w:t>
      </w:r>
    </w:p>
    <w:p w14:paraId="6057452C" w14:textId="77777777" w:rsidR="00E90E49" w:rsidRPr="00CE0424" w:rsidRDefault="00E90E49" w:rsidP="00357380">
      <w:pPr>
        <w:pStyle w:val="3GPPHeader"/>
      </w:pPr>
    </w:p>
    <w:p w14:paraId="0F058E5E" w14:textId="78B9F55A" w:rsidR="00E90E49" w:rsidRPr="003B021B" w:rsidRDefault="00E90E49" w:rsidP="00311702">
      <w:pPr>
        <w:pStyle w:val="3GPPHeader"/>
        <w:rPr>
          <w:sz w:val="22"/>
          <w:szCs w:val="22"/>
        </w:rPr>
      </w:pPr>
      <w:r w:rsidRPr="003B021B">
        <w:rPr>
          <w:sz w:val="22"/>
          <w:szCs w:val="22"/>
        </w:rPr>
        <w:t>Agenda Item:</w:t>
      </w:r>
      <w:r w:rsidRPr="003B021B">
        <w:rPr>
          <w:sz w:val="22"/>
          <w:szCs w:val="22"/>
        </w:rPr>
        <w:tab/>
      </w:r>
      <w:r w:rsidR="00ED5EA6" w:rsidRPr="003B021B">
        <w:rPr>
          <w:sz w:val="22"/>
          <w:szCs w:val="22"/>
        </w:rPr>
        <w:t>7.1.7</w:t>
      </w:r>
    </w:p>
    <w:p w14:paraId="6333566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2D08813" w14:textId="447FCA97" w:rsidR="00ED5EA6" w:rsidRPr="00CE0424" w:rsidRDefault="003D3C45" w:rsidP="00311702">
      <w:pPr>
        <w:pStyle w:val="3GPPHeader"/>
        <w:rPr>
          <w:sz w:val="22"/>
          <w:szCs w:val="22"/>
        </w:rPr>
      </w:pPr>
      <w:r>
        <w:rPr>
          <w:sz w:val="22"/>
          <w:szCs w:val="22"/>
        </w:rPr>
        <w:t>Title:</w:t>
      </w:r>
      <w:r w:rsidR="00E90E49" w:rsidRPr="00CE0424">
        <w:rPr>
          <w:sz w:val="22"/>
          <w:szCs w:val="22"/>
        </w:rPr>
        <w:tab/>
      </w:r>
      <w:r w:rsidR="00ED5EA6" w:rsidRPr="00400771">
        <w:rPr>
          <w:sz w:val="22"/>
          <w:szCs w:val="22"/>
        </w:rPr>
        <w:t>MPDCCH performance improvement for LTE-M</w:t>
      </w:r>
      <w:r w:rsidR="00ED5EA6" w:rsidRPr="00400771" w:rsidDel="00ED5EA6">
        <w:rPr>
          <w:b w:val="0"/>
          <w:sz w:val="22"/>
          <w:szCs w:val="22"/>
        </w:rPr>
        <w:t xml:space="preserve"> </w:t>
      </w:r>
    </w:p>
    <w:p w14:paraId="234EE0F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00771">
        <w:rPr>
          <w:sz w:val="22"/>
          <w:szCs w:val="22"/>
        </w:rPr>
        <w:t>Discussion, Decision</w:t>
      </w:r>
    </w:p>
    <w:p w14:paraId="241890C9" w14:textId="77777777" w:rsidR="00E90E49" w:rsidRPr="00CE0424" w:rsidRDefault="00E90E49" w:rsidP="00E90E49"/>
    <w:p w14:paraId="5D7745EF" w14:textId="77777777" w:rsidR="00E90E49" w:rsidRPr="00CE0424" w:rsidRDefault="00230D18" w:rsidP="00CE0424">
      <w:pPr>
        <w:pStyle w:val="Heading1"/>
      </w:pPr>
      <w:r>
        <w:t>1</w:t>
      </w:r>
      <w:r>
        <w:tab/>
      </w:r>
      <w:r w:rsidR="00E90E49" w:rsidRPr="00CE0424">
        <w:t>Introduction</w:t>
      </w:r>
    </w:p>
    <w:p w14:paraId="3BA15B06" w14:textId="05A32204" w:rsidR="00151654" w:rsidRPr="0069263B" w:rsidRDefault="00151654" w:rsidP="00151654">
      <w:pPr>
        <w:pStyle w:val="BodyText"/>
        <w:rPr>
          <w:lang w:val="en-US"/>
        </w:rPr>
      </w:pPr>
      <w:r>
        <w:t xml:space="preserve">The Rel-16 work item (WI) on “Additional MTC enhancements for LTE” </w:t>
      </w:r>
      <w:r>
        <w:fldChar w:fldCharType="begin"/>
      </w:r>
      <w:r>
        <w:instrText xml:space="preserve"> REF _Ref174151459 \r \h </w:instrText>
      </w:r>
      <w:r>
        <w:fldChar w:fldCharType="separate"/>
      </w:r>
      <w:r w:rsidR="00B2341D">
        <w:t>[1]</w:t>
      </w:r>
      <w:r>
        <w:fldChar w:fldCharType="end"/>
      </w:r>
      <w:r>
        <w:t xml:space="preserve"> has the following objective:</w:t>
      </w:r>
    </w:p>
    <w:tbl>
      <w:tblPr>
        <w:tblStyle w:val="TableGrid"/>
        <w:tblW w:w="0" w:type="auto"/>
        <w:tblLook w:val="04A0" w:firstRow="1" w:lastRow="0" w:firstColumn="1" w:lastColumn="0" w:noHBand="0" w:noVBand="1"/>
      </w:tblPr>
      <w:tblGrid>
        <w:gridCol w:w="9629"/>
      </w:tblGrid>
      <w:tr w:rsidR="00151654" w:rsidRPr="00150D8F" w14:paraId="7B16606C" w14:textId="77777777" w:rsidTr="0055644F">
        <w:tc>
          <w:tcPr>
            <w:tcW w:w="9629" w:type="dxa"/>
          </w:tcPr>
          <w:p w14:paraId="382DC26E" w14:textId="77777777" w:rsidR="00151654" w:rsidRPr="009224AF" w:rsidRDefault="00151654" w:rsidP="0055644F">
            <w:pPr>
              <w:spacing w:after="0"/>
              <w:rPr>
                <w:b/>
                <w:bCs/>
                <w:sz w:val="20"/>
                <w:szCs w:val="20"/>
                <w:lang w:val="en-US"/>
              </w:rPr>
            </w:pPr>
            <w:r w:rsidRPr="009224AF">
              <w:rPr>
                <w:b/>
                <w:bCs/>
                <w:sz w:val="20"/>
                <w:szCs w:val="20"/>
                <w:lang w:val="en-US"/>
              </w:rPr>
              <w:t>Improved DL transmission efficiency and/or UE power consumption:</w:t>
            </w:r>
          </w:p>
          <w:p w14:paraId="4E88DA37" w14:textId="77777777" w:rsidR="00151654" w:rsidRPr="009224AF" w:rsidRDefault="00151654" w:rsidP="0055644F">
            <w:pPr>
              <w:numPr>
                <w:ilvl w:val="0"/>
                <w:numId w:val="23"/>
              </w:numPr>
              <w:overflowPunct/>
              <w:autoSpaceDE/>
              <w:autoSpaceDN/>
              <w:adjustRightInd/>
              <w:spacing w:after="0" w:line="259" w:lineRule="auto"/>
              <w:textAlignment w:val="auto"/>
              <w:rPr>
                <w:sz w:val="20"/>
                <w:szCs w:val="20"/>
              </w:rPr>
            </w:pPr>
            <w:bookmarkStart w:id="0" w:name="_Hlk515907705"/>
            <w:r w:rsidRPr="009224AF">
              <w:rPr>
                <w:sz w:val="20"/>
                <w:szCs w:val="20"/>
              </w:rPr>
              <w:t>[…]</w:t>
            </w:r>
          </w:p>
          <w:bookmarkEnd w:id="0"/>
          <w:p w14:paraId="73284B2A" w14:textId="77777777" w:rsidR="00151654" w:rsidRPr="009224AF" w:rsidRDefault="00151654" w:rsidP="0055644F">
            <w:pPr>
              <w:numPr>
                <w:ilvl w:val="0"/>
                <w:numId w:val="23"/>
              </w:numPr>
              <w:overflowPunct/>
              <w:autoSpaceDE/>
              <w:autoSpaceDN/>
              <w:adjustRightInd/>
              <w:spacing w:after="0" w:line="259" w:lineRule="auto"/>
              <w:textAlignment w:val="auto"/>
              <w:rPr>
                <w:sz w:val="20"/>
                <w:szCs w:val="20"/>
              </w:rPr>
            </w:pPr>
            <w:r w:rsidRPr="009224AF">
              <w:rPr>
                <w:sz w:val="20"/>
                <w:szCs w:val="20"/>
              </w:rPr>
              <w:t>Specify MPDCCH performance improvement by using CRS at least for connected mode [RAN1, RAN2, RAN4]</w:t>
            </w:r>
          </w:p>
          <w:p w14:paraId="6BD88CA1" w14:textId="77777777" w:rsidR="00151654" w:rsidRPr="009224AF" w:rsidRDefault="00151654" w:rsidP="0055644F">
            <w:pPr>
              <w:numPr>
                <w:ilvl w:val="0"/>
                <w:numId w:val="23"/>
              </w:numPr>
              <w:overflowPunct/>
              <w:autoSpaceDE/>
              <w:autoSpaceDN/>
              <w:adjustRightInd/>
              <w:spacing w:after="0" w:line="259" w:lineRule="auto"/>
              <w:textAlignment w:val="auto"/>
              <w:rPr>
                <w:sz w:val="20"/>
                <w:szCs w:val="20"/>
              </w:rPr>
            </w:pPr>
            <w:r w:rsidRPr="009224AF">
              <w:rPr>
                <w:sz w:val="20"/>
                <w:szCs w:val="20"/>
              </w:rPr>
              <w:t>[…]</w:t>
            </w:r>
          </w:p>
          <w:p w14:paraId="6D97FEC9" w14:textId="77777777" w:rsidR="00151654" w:rsidRPr="009224AF" w:rsidRDefault="00151654" w:rsidP="0055644F">
            <w:pPr>
              <w:pStyle w:val="BodyText"/>
              <w:rPr>
                <w:sz w:val="20"/>
                <w:szCs w:val="20"/>
              </w:rPr>
            </w:pPr>
          </w:p>
        </w:tc>
      </w:tr>
    </w:tbl>
    <w:p w14:paraId="247E15BC" w14:textId="77777777" w:rsidR="00151654" w:rsidRPr="00150D8F" w:rsidRDefault="00151654" w:rsidP="00151654">
      <w:pPr>
        <w:pStyle w:val="BodyText"/>
      </w:pPr>
    </w:p>
    <w:p w14:paraId="14148293" w14:textId="3F7E85B7" w:rsidR="00151654" w:rsidRDefault="00151654" w:rsidP="00151654">
      <w:pPr>
        <w:pStyle w:val="BodyText"/>
      </w:pPr>
      <w:r>
        <w:t xml:space="preserve">RAN1 started the discussion on this objective </w:t>
      </w:r>
      <w:r w:rsidRPr="00F67A42">
        <w:t>in RAN1#94 and</w:t>
      </w:r>
      <w:r>
        <w:t xml:space="preserve"> in subsequent meetings (</w:t>
      </w:r>
      <w:r w:rsidRPr="00F67A42">
        <w:t>RAN1#94bis</w:t>
      </w:r>
      <w:r>
        <w:t xml:space="preserve"> RAN1#95, RAN1#96, RAN1#96bis, RAN1#97 and RAN1#98) reached the following agreements relevant to RAN2 </w:t>
      </w:r>
      <w:r>
        <w:fldChar w:fldCharType="begin"/>
      </w:r>
      <w:r>
        <w:instrText xml:space="preserve"> REF _Ref338342 \r \h </w:instrText>
      </w:r>
      <w:r>
        <w:fldChar w:fldCharType="separate"/>
      </w:r>
      <w:r w:rsidR="00B2341D">
        <w:t>[2]</w:t>
      </w:r>
      <w:r>
        <w:fldChar w:fldCharType="end"/>
      </w:r>
      <w:r>
        <w:t xml:space="preserve">: </w:t>
      </w:r>
    </w:p>
    <w:tbl>
      <w:tblPr>
        <w:tblStyle w:val="TableGrid"/>
        <w:tblW w:w="9643" w:type="dxa"/>
        <w:tblInd w:w="-5" w:type="dxa"/>
        <w:tblLook w:val="04A0" w:firstRow="1" w:lastRow="0" w:firstColumn="1" w:lastColumn="0" w:noHBand="0" w:noVBand="1"/>
      </w:tblPr>
      <w:tblGrid>
        <w:gridCol w:w="9643"/>
      </w:tblGrid>
      <w:tr w:rsidR="00151654" w14:paraId="07B63FAF" w14:textId="77777777" w:rsidTr="0055644F">
        <w:trPr>
          <w:trHeight w:val="3585"/>
        </w:trPr>
        <w:tc>
          <w:tcPr>
            <w:tcW w:w="9643" w:type="dxa"/>
            <w:tcBorders>
              <w:top w:val="single" w:sz="4" w:space="0" w:color="auto"/>
              <w:left w:val="single" w:sz="4" w:space="0" w:color="auto"/>
              <w:bottom w:val="single" w:sz="4" w:space="0" w:color="auto"/>
              <w:right w:val="single" w:sz="4" w:space="0" w:color="auto"/>
            </w:tcBorders>
          </w:tcPr>
          <w:p w14:paraId="71E1FA7F" w14:textId="77777777" w:rsidR="00151654" w:rsidRPr="00DF7162" w:rsidRDefault="00151654" w:rsidP="0055644F">
            <w:pPr>
              <w:overflowPunct/>
              <w:autoSpaceDE/>
              <w:autoSpaceDN/>
              <w:adjustRightInd/>
              <w:spacing w:after="0"/>
              <w:ind w:left="720" w:hanging="720"/>
              <w:textAlignment w:val="auto"/>
              <w:rPr>
                <w:b/>
                <w:sz w:val="20"/>
                <w:szCs w:val="20"/>
                <w:highlight w:val="green"/>
                <w:lang w:eastAsia="x-none"/>
              </w:rPr>
            </w:pPr>
            <w:r w:rsidRPr="00DF7162">
              <w:rPr>
                <w:rFonts w:ascii="Times" w:eastAsia="Batang" w:hAnsi="Times"/>
                <w:b/>
                <w:sz w:val="20"/>
                <w:szCs w:val="24"/>
                <w:highlight w:val="green"/>
                <w:lang w:eastAsia="en-US"/>
              </w:rPr>
              <w:t>Agreement</w:t>
            </w:r>
          </w:p>
          <w:p w14:paraId="0553C3B7" w14:textId="77777777" w:rsidR="00151654" w:rsidRPr="00DF7162" w:rsidRDefault="00151654" w:rsidP="0055644F">
            <w:pPr>
              <w:overflowPunct/>
              <w:autoSpaceDE/>
              <w:autoSpaceDN/>
              <w:adjustRightInd/>
              <w:spacing w:after="0"/>
              <w:textAlignment w:val="auto"/>
              <w:rPr>
                <w:sz w:val="20"/>
                <w:szCs w:val="20"/>
              </w:rPr>
            </w:pPr>
            <w:r w:rsidRPr="00DF7162">
              <w:rPr>
                <w:sz w:val="20"/>
                <w:szCs w:val="20"/>
              </w:rPr>
              <w:t xml:space="preserve">For </w:t>
            </w:r>
            <w:r w:rsidRPr="00DF7162">
              <w:rPr>
                <w:rFonts w:ascii="Times" w:eastAsia="Batang" w:hAnsi="Times"/>
                <w:bCs/>
                <w:sz w:val="20"/>
                <w:szCs w:val="24"/>
                <w:lang w:eastAsia="zh-CN"/>
              </w:rPr>
              <w:t>distributed</w:t>
            </w:r>
            <w:r w:rsidRPr="00DF7162">
              <w:rPr>
                <w:sz w:val="20"/>
                <w:szCs w:val="20"/>
              </w:rPr>
              <w:t xml:space="preserve"> MPDCCH, mapping between CRS and DMRS is defined in specifications. </w:t>
            </w:r>
          </w:p>
          <w:p w14:paraId="6FB82B12" w14:textId="018A34F2" w:rsidR="00151654" w:rsidRPr="00151654" w:rsidRDefault="00151654" w:rsidP="00151654">
            <w:pPr>
              <w:pStyle w:val="BodyText"/>
              <w:numPr>
                <w:ilvl w:val="0"/>
                <w:numId w:val="28"/>
              </w:numPr>
              <w:rPr>
                <w:b/>
              </w:rPr>
            </w:pPr>
            <w:r w:rsidRPr="00DF7162">
              <w:t xml:space="preserve">FFS the details (e.g. </w:t>
            </w:r>
            <w:r w:rsidRPr="00DF7162">
              <w:rPr>
                <w:rFonts w:ascii="Times" w:hAnsi="Times" w:cs="Times"/>
                <w:lang w:val="en-US"/>
              </w:rPr>
              <w:t>number</w:t>
            </w:r>
            <w:r w:rsidRPr="00DF7162">
              <w:t xml:space="preserve"> of PRBs over which mapping applies, fixed or configurable)</w:t>
            </w:r>
          </w:p>
          <w:p w14:paraId="075943F5" w14:textId="77777777" w:rsidR="00151654" w:rsidRPr="00DF7162" w:rsidRDefault="00151654" w:rsidP="0055644F">
            <w:pPr>
              <w:overflowPunct/>
              <w:autoSpaceDE/>
              <w:autoSpaceDN/>
              <w:adjustRightInd/>
              <w:spacing w:after="0"/>
              <w:ind w:left="720" w:hanging="720"/>
              <w:textAlignment w:val="auto"/>
              <w:rPr>
                <w:b/>
                <w:sz w:val="20"/>
                <w:szCs w:val="20"/>
                <w:highlight w:val="green"/>
                <w:lang w:eastAsia="x-none"/>
              </w:rPr>
            </w:pPr>
            <w:r w:rsidRPr="00DF7162">
              <w:rPr>
                <w:rFonts w:ascii="Times" w:eastAsia="Batang" w:hAnsi="Times"/>
                <w:b/>
                <w:sz w:val="20"/>
                <w:szCs w:val="24"/>
                <w:highlight w:val="green"/>
                <w:lang w:eastAsia="en-US"/>
              </w:rPr>
              <w:t>Agreement</w:t>
            </w:r>
          </w:p>
          <w:p w14:paraId="0690CF92" w14:textId="77777777" w:rsidR="00151654" w:rsidRDefault="00151654" w:rsidP="0055644F">
            <w:pPr>
              <w:overflowPunct/>
              <w:autoSpaceDE/>
              <w:autoSpaceDN/>
              <w:adjustRightInd/>
              <w:spacing w:after="0"/>
              <w:textAlignment w:val="auto"/>
              <w:rPr>
                <w:sz w:val="20"/>
                <w:szCs w:val="20"/>
              </w:rPr>
            </w:pPr>
            <w:r w:rsidRPr="00DF7162">
              <w:rPr>
                <w:sz w:val="20"/>
                <w:szCs w:val="20"/>
              </w:rPr>
              <w:t xml:space="preserve">Power </w:t>
            </w:r>
            <w:r w:rsidRPr="00DF7162">
              <w:rPr>
                <w:rFonts w:ascii="Times" w:eastAsia="Batang" w:hAnsi="Times"/>
                <w:bCs/>
                <w:sz w:val="20"/>
                <w:szCs w:val="24"/>
                <w:lang w:eastAsia="zh-CN"/>
              </w:rPr>
              <w:t>offset</w:t>
            </w:r>
            <w:r w:rsidRPr="00DF7162">
              <w:rPr>
                <w:sz w:val="20"/>
                <w:szCs w:val="20"/>
              </w:rPr>
              <w:t xml:space="preserve"> </w:t>
            </w:r>
            <w:r w:rsidRPr="00DF7162">
              <w:rPr>
                <w:rFonts w:ascii="Times" w:eastAsia="Batang" w:hAnsi="Times"/>
                <w:bCs/>
                <w:sz w:val="20"/>
                <w:szCs w:val="24"/>
                <w:lang w:val="en-GB" w:eastAsia="zh-CN"/>
              </w:rPr>
              <w:t>between</w:t>
            </w:r>
            <w:r w:rsidRPr="00DF7162">
              <w:rPr>
                <w:sz w:val="20"/>
                <w:szCs w:val="20"/>
              </w:rPr>
              <w:t xml:space="preserve"> CRS and DMRS antenna ports of MPDCCH is signaled by eNB. FFS the signaling details (e.g. provisioning for default power offset value).</w:t>
            </w:r>
          </w:p>
          <w:p w14:paraId="7C77C50A" w14:textId="77777777" w:rsidR="00151654" w:rsidRPr="00DF7162" w:rsidRDefault="00151654" w:rsidP="0055644F">
            <w:pPr>
              <w:overflowPunct/>
              <w:autoSpaceDE/>
              <w:autoSpaceDN/>
              <w:adjustRightInd/>
              <w:spacing w:after="0"/>
              <w:textAlignment w:val="auto"/>
              <w:rPr>
                <w:sz w:val="20"/>
                <w:szCs w:val="20"/>
              </w:rPr>
            </w:pPr>
          </w:p>
          <w:p w14:paraId="19CF08E5" w14:textId="77777777" w:rsidR="00151654" w:rsidRPr="00DF7162" w:rsidRDefault="00151654" w:rsidP="0055644F">
            <w:pPr>
              <w:overflowPunct/>
              <w:autoSpaceDE/>
              <w:autoSpaceDN/>
              <w:adjustRightInd/>
              <w:spacing w:after="0"/>
              <w:ind w:left="720" w:hanging="720"/>
              <w:textAlignment w:val="auto"/>
              <w:rPr>
                <w:sz w:val="20"/>
                <w:szCs w:val="20"/>
                <w:highlight w:val="green"/>
                <w:lang w:eastAsia="en-US"/>
              </w:rPr>
            </w:pPr>
            <w:r w:rsidRPr="00DF7162">
              <w:rPr>
                <w:rFonts w:ascii="Times" w:eastAsia="Batang" w:hAnsi="Times"/>
                <w:b/>
                <w:sz w:val="20"/>
                <w:szCs w:val="24"/>
                <w:highlight w:val="green"/>
                <w:lang w:eastAsia="en-US"/>
              </w:rPr>
              <w:t>Agreement</w:t>
            </w:r>
          </w:p>
          <w:p w14:paraId="36950133" w14:textId="77777777" w:rsidR="00151654" w:rsidRDefault="00151654" w:rsidP="0055644F">
            <w:pPr>
              <w:overflowPunct/>
              <w:autoSpaceDE/>
              <w:autoSpaceDN/>
              <w:adjustRightInd/>
              <w:spacing w:after="0"/>
              <w:textAlignment w:val="auto"/>
              <w:rPr>
                <w:sz w:val="20"/>
                <w:szCs w:val="20"/>
              </w:rPr>
            </w:pPr>
            <w:r w:rsidRPr="00DF7162">
              <w:rPr>
                <w:sz w:val="20"/>
                <w:szCs w:val="20"/>
              </w:rPr>
              <w:t>For UE in Connected/Idle mode, the power offset between CRS and DMRS antenna ports of MPDCCH is indicated by SIB.</w:t>
            </w:r>
          </w:p>
          <w:p w14:paraId="0D5BCA5C" w14:textId="77777777" w:rsidR="00151654" w:rsidRPr="00DF7162" w:rsidRDefault="00151654" w:rsidP="0055644F">
            <w:pPr>
              <w:overflowPunct/>
              <w:autoSpaceDE/>
              <w:autoSpaceDN/>
              <w:adjustRightInd/>
              <w:spacing w:after="0"/>
              <w:textAlignment w:val="auto"/>
              <w:rPr>
                <w:sz w:val="20"/>
                <w:szCs w:val="20"/>
              </w:rPr>
            </w:pPr>
          </w:p>
          <w:p w14:paraId="156EF42E" w14:textId="77777777" w:rsidR="00151654" w:rsidRPr="00DF7162" w:rsidRDefault="00151654" w:rsidP="0055644F">
            <w:pPr>
              <w:overflowPunct/>
              <w:autoSpaceDE/>
              <w:autoSpaceDN/>
              <w:adjustRightInd/>
              <w:spacing w:after="0"/>
              <w:ind w:left="720" w:hanging="720"/>
              <w:textAlignment w:val="auto"/>
              <w:rPr>
                <w:sz w:val="20"/>
                <w:szCs w:val="20"/>
                <w:highlight w:val="green"/>
                <w:lang w:eastAsia="en-US"/>
              </w:rPr>
            </w:pPr>
            <w:r w:rsidRPr="00DF7162">
              <w:rPr>
                <w:rFonts w:ascii="Times" w:eastAsia="Batang" w:hAnsi="Times"/>
                <w:b/>
                <w:sz w:val="20"/>
                <w:szCs w:val="24"/>
                <w:highlight w:val="green"/>
                <w:lang w:eastAsia="en-US"/>
              </w:rPr>
              <w:t>Agreement</w:t>
            </w:r>
          </w:p>
          <w:p w14:paraId="5C9A4A7F" w14:textId="77777777" w:rsidR="00151654" w:rsidRPr="00DF7162" w:rsidRDefault="00151654" w:rsidP="00151654">
            <w:pPr>
              <w:pStyle w:val="ListParagraph"/>
              <w:numPr>
                <w:ilvl w:val="0"/>
                <w:numId w:val="26"/>
              </w:numPr>
              <w:rPr>
                <w:rFonts w:ascii="Times New Roman" w:hAnsi="Times New Roman"/>
                <w:sz w:val="20"/>
                <w:szCs w:val="20"/>
                <w:lang w:val="de-DE" w:eastAsia="ja-JP"/>
              </w:rPr>
            </w:pPr>
            <w:r w:rsidRPr="00DF7162">
              <w:rPr>
                <w:rFonts w:ascii="Times New Roman" w:hAnsi="Times New Roman"/>
                <w:sz w:val="20"/>
                <w:szCs w:val="20"/>
                <w:lang w:val="de-DE"/>
              </w:rPr>
              <w:t>For UE in Idle mode, the configuration of CRS for MPDCCH performance improvement is indicated via SIB/SI. FFS the details of configuration.</w:t>
            </w:r>
          </w:p>
          <w:p w14:paraId="2628D669" w14:textId="77777777" w:rsidR="00151654" w:rsidRPr="00366370" w:rsidRDefault="00151654" w:rsidP="00151654">
            <w:pPr>
              <w:pStyle w:val="ListParagraph"/>
              <w:numPr>
                <w:ilvl w:val="0"/>
                <w:numId w:val="26"/>
              </w:numPr>
              <w:rPr>
                <w:sz w:val="20"/>
                <w:lang w:val="de-DE" w:eastAsia="x-none"/>
              </w:rPr>
            </w:pPr>
            <w:r w:rsidRPr="00DF7162">
              <w:rPr>
                <w:rFonts w:ascii="Times New Roman" w:hAnsi="Times New Roman"/>
                <w:sz w:val="20"/>
                <w:szCs w:val="20"/>
                <w:lang w:val="de-DE"/>
              </w:rPr>
              <w:t>For UE in Connected mode, the configuration of CRS for MPDCCH performance improvement is indicated via UE-specific RRC signalling. FFS the details of configuration.</w:t>
            </w:r>
          </w:p>
        </w:tc>
      </w:tr>
    </w:tbl>
    <w:p w14:paraId="75B5BF43" w14:textId="77777777" w:rsidR="00151654" w:rsidRDefault="00151654" w:rsidP="00151654">
      <w:pPr>
        <w:rPr>
          <w:rFonts w:ascii="Times" w:eastAsia="Batang" w:hAnsi="Times"/>
          <w:szCs w:val="24"/>
          <w:lang w:eastAsia="x-none"/>
        </w:rPr>
      </w:pPr>
    </w:p>
    <w:p w14:paraId="5877715D" w14:textId="6F27A7A9" w:rsidR="00151654" w:rsidRDefault="00151654" w:rsidP="00151654">
      <w:pPr>
        <w:pStyle w:val="BodyText"/>
        <w:rPr>
          <w:lang w:eastAsia="x-none"/>
        </w:rPr>
      </w:pPr>
      <w:r w:rsidRPr="00894EE6">
        <w:t>RAN2#103bis</w:t>
      </w:r>
      <w:r>
        <w:t xml:space="preserve"> started the discussion on the feature from RAN2 point of view which continued also in RAN2#104 and RAN2#106 and reached the following agreements </w:t>
      </w:r>
      <w:r>
        <w:fldChar w:fldCharType="begin"/>
      </w:r>
      <w:r>
        <w:instrText xml:space="preserve"> REF _Ref7079980 \r \h </w:instrText>
      </w:r>
      <w:r>
        <w:fldChar w:fldCharType="separate"/>
      </w:r>
      <w:r w:rsidR="00B2341D">
        <w:t>[3]</w:t>
      </w:r>
      <w:r>
        <w:fldChar w:fldCharType="end"/>
      </w:r>
      <w:r>
        <w:t>:</w:t>
      </w:r>
    </w:p>
    <w:tbl>
      <w:tblPr>
        <w:tblStyle w:val="TableGrid"/>
        <w:tblW w:w="0" w:type="auto"/>
        <w:tblLook w:val="04A0" w:firstRow="1" w:lastRow="0" w:firstColumn="1" w:lastColumn="0" w:noHBand="0" w:noVBand="1"/>
      </w:tblPr>
      <w:tblGrid>
        <w:gridCol w:w="9629"/>
      </w:tblGrid>
      <w:tr w:rsidR="00151654" w14:paraId="177D8E03" w14:textId="77777777" w:rsidTr="0055644F">
        <w:tc>
          <w:tcPr>
            <w:tcW w:w="9629" w:type="dxa"/>
          </w:tcPr>
          <w:p w14:paraId="7944D8B8" w14:textId="77777777" w:rsidR="00151654" w:rsidRDefault="00151654" w:rsidP="0055644F">
            <w:pPr>
              <w:pStyle w:val="NormalWeb"/>
              <w:spacing w:before="0" w:beforeAutospacing="0" w:after="120" w:afterAutospacing="0"/>
              <w:rPr>
                <w:rFonts w:ascii="Arial" w:hAnsi="Arial" w:cs="Arial"/>
                <w:sz w:val="20"/>
                <w:szCs w:val="20"/>
                <w:lang w:val="en-US"/>
              </w:rPr>
            </w:pPr>
            <w:r>
              <w:rPr>
                <w:rFonts w:ascii="Arial" w:hAnsi="Arial" w:cs="Arial"/>
                <w:sz w:val="20"/>
                <w:szCs w:val="20"/>
                <w:highlight w:val="green"/>
                <w:lang w:val="en-US"/>
              </w:rPr>
              <w:t>RAN2#103bis agreements:</w:t>
            </w:r>
          </w:p>
          <w:p w14:paraId="613B062D" w14:textId="77777777" w:rsidR="00151654" w:rsidRDefault="00151654" w:rsidP="0055644F">
            <w:pPr>
              <w:pStyle w:val="NormalWeb"/>
              <w:numPr>
                <w:ilvl w:val="0"/>
                <w:numId w:val="24"/>
              </w:numPr>
              <w:spacing w:before="0" w:beforeAutospacing="0" w:after="0" w:afterAutospacing="0"/>
              <w:rPr>
                <w:rFonts w:ascii="Arial" w:hAnsi="Arial" w:cs="Arial"/>
                <w:sz w:val="20"/>
                <w:szCs w:val="20"/>
                <w:lang w:val="en-GB"/>
              </w:rPr>
            </w:pPr>
            <w:r>
              <w:rPr>
                <w:rFonts w:ascii="Arial" w:hAnsi="Arial" w:cs="Arial"/>
                <w:sz w:val="20"/>
                <w:szCs w:val="20"/>
                <w:lang w:val="en-GB"/>
              </w:rPr>
              <w:t>eNB enables CRS for improving channel estimation on MPDCCH via broadcasted RRC signalling.</w:t>
            </w:r>
            <w:r>
              <w:rPr>
                <w:rFonts w:ascii="Arial" w:hAnsi="Arial" w:cs="Arial"/>
                <w:sz w:val="20"/>
                <w:szCs w:val="20"/>
                <w:lang w:val="en-GB"/>
              </w:rPr>
              <w:br/>
            </w:r>
          </w:p>
          <w:p w14:paraId="3068C597" w14:textId="77777777" w:rsidR="00151654" w:rsidRDefault="00151654" w:rsidP="0055644F">
            <w:pPr>
              <w:rPr>
                <w:rFonts w:eastAsia="MS Mincho" w:cs="Arial"/>
                <w:sz w:val="20"/>
                <w:szCs w:val="20"/>
                <w:lang w:val="en-US"/>
              </w:rPr>
            </w:pPr>
            <w:r>
              <w:rPr>
                <w:rFonts w:eastAsia="MS Mincho" w:cs="Arial"/>
                <w:highlight w:val="green"/>
                <w:lang w:val="en-US"/>
              </w:rPr>
              <w:lastRenderedPageBreak/>
              <w:t>RAN2#104 agreements:</w:t>
            </w:r>
          </w:p>
          <w:p w14:paraId="3E70F225" w14:textId="77777777" w:rsidR="00151654" w:rsidRPr="001E7E0D" w:rsidRDefault="00151654" w:rsidP="0055644F">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0E064970" w14:textId="77777777" w:rsidR="00151654" w:rsidRPr="001E7E0D" w:rsidRDefault="00151654" w:rsidP="0055644F">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UEs report capability to indicate support of using CRS for improving MPDCCH channel estimation.</w:t>
            </w:r>
          </w:p>
          <w:p w14:paraId="223C18EB" w14:textId="77777777" w:rsidR="00151654" w:rsidRPr="00390D62" w:rsidRDefault="00151654" w:rsidP="0055644F">
            <w:pPr>
              <w:pStyle w:val="NormalWeb"/>
              <w:numPr>
                <w:ilvl w:val="0"/>
                <w:numId w:val="24"/>
              </w:numPr>
              <w:spacing w:before="0" w:beforeAutospacing="0" w:after="0" w:afterAutospacing="0"/>
              <w:rPr>
                <w:rFonts w:ascii="Arial" w:eastAsia="Times New Roman" w:hAnsi="Arial" w:cs="Arial"/>
                <w:sz w:val="20"/>
                <w:szCs w:val="20"/>
                <w:lang w:val="en-GB"/>
              </w:rPr>
            </w:pPr>
            <w:r w:rsidRPr="001E7E0D">
              <w:rPr>
                <w:rFonts w:ascii="Arial" w:eastAsia="Times New Roman" w:hAnsi="Arial" w:cs="Arial"/>
                <w:sz w:val="20"/>
                <w:szCs w:val="20"/>
                <w:lang w:val="en-GB"/>
              </w:rPr>
              <w:t>It is FFS if enabling/disabling is needed for the UE.</w:t>
            </w:r>
            <w:r>
              <w:rPr>
                <w:rFonts w:ascii="Arial" w:eastAsia="Times New Roman" w:hAnsi="Arial" w:cs="Arial"/>
                <w:sz w:val="20"/>
                <w:szCs w:val="20"/>
                <w:lang w:val="en-GB"/>
              </w:rPr>
              <w:br/>
            </w:r>
          </w:p>
          <w:p w14:paraId="7694B0EE" w14:textId="77777777" w:rsidR="00151654" w:rsidRDefault="00151654" w:rsidP="0055644F">
            <w:pPr>
              <w:rPr>
                <w:rFonts w:eastAsia="MS Mincho" w:cs="Arial"/>
                <w:lang w:val="en-US"/>
              </w:rPr>
            </w:pPr>
            <w:r>
              <w:rPr>
                <w:rFonts w:eastAsia="MS Mincho" w:cs="Arial"/>
                <w:highlight w:val="green"/>
                <w:lang w:val="en-US"/>
              </w:rPr>
              <w:t>RAN2#106 agreements:</w:t>
            </w:r>
          </w:p>
          <w:p w14:paraId="41549831" w14:textId="77777777" w:rsidR="00151654" w:rsidRPr="00390D62" w:rsidRDefault="00151654" w:rsidP="0055644F">
            <w:pPr>
              <w:pStyle w:val="Agreement"/>
              <w:numPr>
                <w:ilvl w:val="0"/>
                <w:numId w:val="24"/>
              </w:numPr>
              <w:rPr>
                <w:rFonts w:cs="Arial"/>
                <w:b w:val="0"/>
                <w:sz w:val="20"/>
                <w:szCs w:val="20"/>
                <w:lang w:val="en-GB"/>
              </w:rPr>
            </w:pPr>
            <w:r w:rsidRPr="00390D62">
              <w:rPr>
                <w:b w:val="0"/>
                <w:sz w:val="20"/>
                <w:lang w:val="en-US"/>
              </w:rPr>
              <w:t>No need to introduce a separate indication to enable the feature. Configuration of CRS for MPDCCH performance improvement enables the feature implicitly for UEs in Idle mode.</w:t>
            </w:r>
          </w:p>
          <w:p w14:paraId="655F61D8" w14:textId="11453F66" w:rsidR="00151654" w:rsidRDefault="00151654" w:rsidP="0055644F">
            <w:pPr>
              <w:pStyle w:val="Agreement"/>
              <w:numPr>
                <w:ilvl w:val="0"/>
                <w:numId w:val="24"/>
              </w:numPr>
              <w:rPr>
                <w:b w:val="0"/>
                <w:sz w:val="20"/>
                <w:lang w:val="en-US"/>
              </w:rPr>
            </w:pPr>
            <w:r w:rsidRPr="00390D62">
              <w:rPr>
                <w:b w:val="0"/>
                <w:sz w:val="20"/>
                <w:lang w:val="en-US"/>
              </w:rPr>
              <w:t>Working assumption: If dedicated configuration is not provided in connected mode, UE can use the broadcasted configuration if it exists.</w:t>
            </w:r>
          </w:p>
          <w:p w14:paraId="635FC64F" w14:textId="77777777" w:rsidR="00AC66AB" w:rsidRDefault="00AC66AB" w:rsidP="00AC66AB">
            <w:pPr>
              <w:rPr>
                <w:rFonts w:eastAsia="MS Mincho" w:cs="Arial"/>
                <w:highlight w:val="green"/>
                <w:lang w:val="en-US"/>
              </w:rPr>
            </w:pPr>
          </w:p>
          <w:p w14:paraId="7200A01E" w14:textId="77777777" w:rsidR="009F4939" w:rsidRPr="006957D9" w:rsidRDefault="009F4939" w:rsidP="009F4939">
            <w:pPr>
              <w:rPr>
                <w:rFonts w:eastAsia="MS Mincho" w:cs="Arial"/>
                <w:highlight w:val="green"/>
                <w:lang w:val="en-US"/>
              </w:rPr>
            </w:pPr>
            <w:r>
              <w:rPr>
                <w:rFonts w:eastAsia="MS Mincho" w:cs="Arial"/>
                <w:highlight w:val="green"/>
                <w:lang w:val="en-US"/>
              </w:rPr>
              <w:t>RAN2#107bis agreements:</w:t>
            </w:r>
          </w:p>
          <w:p w14:paraId="1D0B9969" w14:textId="77777777" w:rsidR="009F4939" w:rsidRPr="009E38CF" w:rsidRDefault="009F4939" w:rsidP="009E38CF">
            <w:pPr>
              <w:pStyle w:val="Agreement"/>
              <w:numPr>
                <w:ilvl w:val="0"/>
                <w:numId w:val="24"/>
              </w:numPr>
              <w:rPr>
                <w:b w:val="0"/>
                <w:sz w:val="20"/>
                <w:lang w:val="en-US"/>
              </w:rPr>
            </w:pPr>
            <w:r w:rsidRPr="000B0F53">
              <w:rPr>
                <w:b w:val="0"/>
                <w:sz w:val="20"/>
                <w:lang w:val="en-US"/>
              </w:rPr>
              <w:t>UE shall consider the feature disabled in idle mode when configuration in idle mode is not broadcasted.</w:t>
            </w:r>
          </w:p>
          <w:p w14:paraId="61090405" w14:textId="77777777" w:rsidR="009F4939" w:rsidRPr="009E38CF" w:rsidRDefault="009F4939" w:rsidP="009E38CF">
            <w:pPr>
              <w:pStyle w:val="Agreement"/>
              <w:numPr>
                <w:ilvl w:val="0"/>
                <w:numId w:val="24"/>
              </w:numPr>
              <w:rPr>
                <w:b w:val="0"/>
                <w:sz w:val="20"/>
                <w:lang w:val="en-US"/>
              </w:rPr>
            </w:pPr>
            <w:r w:rsidRPr="000B0F53">
              <w:rPr>
                <w:b w:val="0"/>
                <w:sz w:val="20"/>
                <w:lang w:val="en-US"/>
              </w:rPr>
              <w:t>The dedicated configuration is released when UE is released to idle mode. FFS when UE is suspended.</w:t>
            </w:r>
          </w:p>
          <w:p w14:paraId="173997B4" w14:textId="77777777" w:rsidR="00151654" w:rsidRPr="00BD3A4C" w:rsidRDefault="00151654" w:rsidP="009E38CF">
            <w:pPr>
              <w:pStyle w:val="NormalWeb"/>
              <w:spacing w:before="0" w:beforeAutospacing="0" w:after="0" w:afterAutospacing="0"/>
              <w:rPr>
                <w:lang w:val="en-GB"/>
              </w:rPr>
            </w:pPr>
          </w:p>
        </w:tc>
      </w:tr>
    </w:tbl>
    <w:p w14:paraId="46BDD6B7" w14:textId="77777777" w:rsidR="00151654" w:rsidRDefault="00151654" w:rsidP="00151654">
      <w:pPr>
        <w:pStyle w:val="BodyText"/>
      </w:pPr>
    </w:p>
    <w:p w14:paraId="43C2D6A3" w14:textId="38473C54" w:rsidR="00477768" w:rsidRPr="00CE0424" w:rsidRDefault="00151654" w:rsidP="00151654">
      <w:pPr>
        <w:pStyle w:val="BodyText"/>
      </w:pPr>
      <w:r>
        <w:t>In t</w:t>
      </w:r>
      <w:r w:rsidRPr="00150D8F">
        <w:t xml:space="preserve">his contribution </w:t>
      </w:r>
      <w:r>
        <w:t xml:space="preserve">we discuss </w:t>
      </w:r>
      <w:r w:rsidR="00ED5EA6">
        <w:t>signalling details based on R</w:t>
      </w:r>
      <w:r>
        <w:t>AN1 progress</w:t>
      </w:r>
      <w:r w:rsidR="00ED5EA6">
        <w:t>es and agreements</w:t>
      </w:r>
      <w:r w:rsidR="00D30389">
        <w:t xml:space="preserve"> focusing on the interpretation of the various parameters in IDLE </w:t>
      </w:r>
      <w:r w:rsidDel="00ED5EA6">
        <w:t xml:space="preserve">and </w:t>
      </w:r>
      <w:r w:rsidR="00D30389">
        <w:t>CONNECTED mode</w:t>
      </w:r>
      <w:r>
        <w:t xml:space="preserve">. This paper is a revision of </w:t>
      </w:r>
      <w:r>
        <w:fldChar w:fldCharType="begin"/>
      </w:r>
      <w:r>
        <w:instrText xml:space="preserve"> REF _Ref6413251 \r \h </w:instrText>
      </w:r>
      <w:r>
        <w:fldChar w:fldCharType="separate"/>
      </w:r>
      <w:r w:rsidR="00B2341D">
        <w:t>[4]</w:t>
      </w:r>
      <w:r>
        <w:fldChar w:fldCharType="end"/>
      </w:r>
      <w:r>
        <w:t>.</w:t>
      </w:r>
    </w:p>
    <w:p w14:paraId="6D7F4D96" w14:textId="14C72778" w:rsidR="00EE5029" w:rsidRPr="00EE5029" w:rsidRDefault="00230D18" w:rsidP="007A4A94">
      <w:pPr>
        <w:pStyle w:val="Heading1"/>
      </w:pPr>
      <w:bookmarkStart w:id="1" w:name="_Ref178064866"/>
      <w:r>
        <w:t>2</w:t>
      </w:r>
      <w:r>
        <w:tab/>
      </w:r>
      <w:r w:rsidR="004000E8" w:rsidRPr="00CE0424">
        <w:t>Discussion</w:t>
      </w:r>
      <w:bookmarkEnd w:id="1"/>
    </w:p>
    <w:p w14:paraId="450109E6" w14:textId="77777777" w:rsidR="00151654" w:rsidRDefault="00151654" w:rsidP="00151654">
      <w:pPr>
        <w:pStyle w:val="BodyText"/>
      </w:pPr>
      <w:r w:rsidRPr="00536859">
        <w:t xml:space="preserve">So far, the demodulation of MPDCCH is only based on DMRS. For Rel-16, agreements have been made in RAN1 and RAN2 to make it possible to improve the MPDCCH channel estimation by enabling </w:t>
      </w:r>
      <w:r>
        <w:t xml:space="preserve">the </w:t>
      </w:r>
      <w:r w:rsidRPr="00536859">
        <w:t xml:space="preserve">possibility to use CRS </w:t>
      </w:r>
      <w:r>
        <w:t>for MPDCCH demodulation</w:t>
      </w:r>
      <w:r w:rsidRPr="00536859">
        <w:t>.</w:t>
      </w:r>
      <w:r>
        <w:t xml:space="preserve"> Depending on the type of the UE, i.e. BL or non-BL, and details of the mapping between DMRS and CRS, gains can be expected for both high and low SNR levels resulting in fewer number of repetitions needed for successful MPDCCH decoding. This results in less time needed for the UE to monitor MPDCCH and, consequently, improvements in power consumption, provided that the potentially increased load of processing the two types of reference signals is not too costly. </w:t>
      </w:r>
    </w:p>
    <w:p w14:paraId="26E1D3BB" w14:textId="7D9FC481" w:rsidR="00151654" w:rsidRDefault="00151654" w:rsidP="00151654">
      <w:pPr>
        <w:pStyle w:val="BodyText"/>
      </w:pPr>
      <w:r>
        <w:t xml:space="preserve">This feature aims both idle and connected mode so that UEs can use CRS for improved MPDCCH channel estimation both when they are in connected mode and for example </w:t>
      </w:r>
      <w:r w:rsidR="00E124BD">
        <w:t xml:space="preserve">while monitoring paging and </w:t>
      </w:r>
      <w:r>
        <w:t>during the RA procedure prior to entering the connected mode.</w:t>
      </w:r>
    </w:p>
    <w:p w14:paraId="4D7910C6" w14:textId="76C49A46" w:rsidR="00812499" w:rsidRDefault="00812499" w:rsidP="00812499">
      <w:pPr>
        <w:pStyle w:val="Heading2"/>
        <w:rPr>
          <w:lang w:val="en-US"/>
        </w:rPr>
      </w:pPr>
      <w:r>
        <w:rPr>
          <w:lang w:val="en-US"/>
        </w:rPr>
        <w:t>2.</w:t>
      </w:r>
      <w:r w:rsidR="007A4A94">
        <w:rPr>
          <w:lang w:val="en-US"/>
        </w:rPr>
        <w:t>1</w:t>
      </w:r>
      <w:r>
        <w:rPr>
          <w:lang w:val="en-US"/>
        </w:rPr>
        <w:tab/>
        <w:t>Configuration in general</w:t>
      </w:r>
    </w:p>
    <w:p w14:paraId="3A218D65" w14:textId="09E85DB0" w:rsidR="009A60FD" w:rsidRDefault="003D2448" w:rsidP="00812499">
      <w:pPr>
        <w:pStyle w:val="BodyText"/>
      </w:pPr>
      <w:r>
        <w:t xml:space="preserve">As a general note it is observed that from RAN1 point of view the transmission of MPDCCH using the new optimization is backward-compatible. This means that, if eNB transmit MPDCCH assuming the feature is enabled, a UE that is not using the feature is still able to decode the transmission </w:t>
      </w:r>
      <w:r w:rsidR="0047026D">
        <w:t xml:space="preserve">correctly </w:t>
      </w:r>
      <w:r>
        <w:t>although with different performance. This property should be considered in th</w:t>
      </w:r>
      <w:r w:rsidR="00507926">
        <w:t xml:space="preserve">ose cases where the </w:t>
      </w:r>
      <w:r>
        <w:t>configuration is released.</w:t>
      </w:r>
    </w:p>
    <w:p w14:paraId="1DF9DFCF" w14:textId="76582C4A" w:rsidR="003D2448" w:rsidRDefault="00507926" w:rsidP="009E38CF">
      <w:pPr>
        <w:pStyle w:val="Observation"/>
      </w:pPr>
      <w:bookmarkStart w:id="2" w:name="_Toc24035522"/>
      <w:r>
        <w:t>The feature in object is</w:t>
      </w:r>
      <w:r w:rsidR="003D2448">
        <w:t xml:space="preserve"> </w:t>
      </w:r>
      <w:r>
        <w:t>intended to be used only to improve MPDCCH decoding performance when supported. UEs not supporting, or configured with the feature disabled, can decode MPDCCH as in legacy even when eNB enabled the feature</w:t>
      </w:r>
      <w:bookmarkEnd w:id="2"/>
    </w:p>
    <w:p w14:paraId="5DC4A755" w14:textId="2BEAA010" w:rsidR="008408EB" w:rsidRDefault="008408EB" w:rsidP="008408EB">
      <w:pPr>
        <w:pStyle w:val="BodyText"/>
      </w:pPr>
      <w:r>
        <w:t xml:space="preserve">There are two issues left to be solved regarding configuration and signalling. One </w:t>
      </w:r>
      <w:proofErr w:type="gramStart"/>
      <w:r>
        <w:t>is how to keep the UE configuration synchronized with eNB at all times</w:t>
      </w:r>
      <w:proofErr w:type="gramEnd"/>
      <w:r>
        <w:t xml:space="preserve"> avoiding ambiguous configurations, the second is how to configure the UE in case the dedicated configuration is missing.</w:t>
      </w:r>
    </w:p>
    <w:p w14:paraId="44F0097A" w14:textId="325456FC" w:rsidR="005C61AB" w:rsidRDefault="005C61AB" w:rsidP="008408EB">
      <w:pPr>
        <w:pStyle w:val="BodyText"/>
      </w:pPr>
      <w:r>
        <w:t xml:space="preserve">Potential ambiguities can happen if the UE is moving to a new cell which is using a different configuration than the one used in the previous cell. </w:t>
      </w:r>
    </w:p>
    <w:p w14:paraId="441A971A" w14:textId="00BFB0AC" w:rsidR="00395E97" w:rsidRDefault="005C61AB">
      <w:pPr>
        <w:pStyle w:val="BodyText"/>
      </w:pPr>
      <w:r>
        <w:lastRenderedPageBreak/>
        <w:t xml:space="preserve">When the UE resumes in a new cell from IDLE, it </w:t>
      </w:r>
      <w:r w:rsidR="006F2E2A">
        <w:t>must</w:t>
      </w:r>
      <w:r>
        <w:t xml:space="preserve"> have updated version of SIB1 and SIB2, thus the broadcasted configuration will be up-to-date. It can happen, though, that the saved dedicated configuration is not valid anymore, and </w:t>
      </w:r>
      <w:r>
        <w:t xml:space="preserve">resuming </w:t>
      </w:r>
      <w:r w:rsidR="006F2E2A">
        <w:t xml:space="preserve">as </w:t>
      </w:r>
      <w:proofErr w:type="gramStart"/>
      <w:r w:rsidR="006F2E2A">
        <w:t>it</w:t>
      </w:r>
      <w:proofErr w:type="gramEnd"/>
      <w:r w:rsidR="006F2E2A">
        <w:t xml:space="preserve"> is </w:t>
      </w:r>
      <w:r>
        <w:t xml:space="preserve">would </w:t>
      </w:r>
      <w:r>
        <w:t xml:space="preserve">lead to an ambiguity. In such case eNB </w:t>
      </w:r>
      <w:r w:rsidR="006F2E2A">
        <w:t xml:space="preserve">should </w:t>
      </w:r>
      <w:r w:rsidR="00395E97">
        <w:t>explicitly provide a new configuration in the resume message in Msg4 which can be either a new configuration or a command to disable the feature.</w:t>
      </w:r>
    </w:p>
    <w:p w14:paraId="72CF088C" w14:textId="400E495D" w:rsidR="00395E97" w:rsidRDefault="00395E97">
      <w:pPr>
        <w:pStyle w:val="BodyText"/>
      </w:pPr>
      <w:r>
        <w:t>During handover procedure the UE get</w:t>
      </w:r>
      <w:r w:rsidR="0094717E">
        <w:t>s</w:t>
      </w:r>
      <w:r>
        <w:t xml:space="preserve"> a new dedicated configuration, and the same concept explained above applies in order to keep the dedicated configuration up-to-date. In order to acquire the broadcasted configuration of the new cell immediately after the handover procedure, the </w:t>
      </w:r>
      <w:proofErr w:type="spellStart"/>
      <w:r w:rsidR="00CE3177">
        <w:t>eNB</w:t>
      </w:r>
      <w:proofErr w:type="spellEnd"/>
      <w:r w:rsidR="00CE3177">
        <w:t xml:space="preserve"> </w:t>
      </w:r>
      <w:r>
        <w:t>can provide SIB1 and SIB2 during the procedure itself.</w:t>
      </w:r>
    </w:p>
    <w:p w14:paraId="0BC56985" w14:textId="62F22BB1" w:rsidR="006957D9" w:rsidRDefault="006957D9" w:rsidP="006957D9">
      <w:pPr>
        <w:pStyle w:val="BodyText"/>
      </w:pPr>
      <w:r>
        <w:t xml:space="preserve">Finally, in case SI and the broadcasted configuration is updated, the legacy mechanisms would handle the situation, specifically release the connection and re-acquire SI. </w:t>
      </w:r>
    </w:p>
    <w:p w14:paraId="010376FE" w14:textId="3FC9BC59" w:rsidR="00395E97" w:rsidRDefault="00395E97">
      <w:pPr>
        <w:pStyle w:val="BodyText"/>
      </w:pPr>
      <w:r>
        <w:t xml:space="preserve">In other words, it is possible to avoid any kind of ambiguity provided that the </w:t>
      </w:r>
      <w:proofErr w:type="gramStart"/>
      <w:r>
        <w:t>aforementioned behaviours</w:t>
      </w:r>
      <w:proofErr w:type="gramEnd"/>
      <w:r>
        <w:t xml:space="preserve"> are adopted. In the remainder of this contribution it is assumed that the UE is always up-to-date with respect to its configuration.</w:t>
      </w:r>
    </w:p>
    <w:p w14:paraId="4BCA15B0" w14:textId="1992B5DD" w:rsidR="00395E97" w:rsidRDefault="00395E97" w:rsidP="006957D9">
      <w:pPr>
        <w:pStyle w:val="Observation"/>
      </w:pPr>
      <w:bookmarkStart w:id="3" w:name="_Toc24035523"/>
      <w:r>
        <w:t>Legacy procedures can be used to avoid configuration ambiguities</w:t>
      </w:r>
      <w:bookmarkEnd w:id="3"/>
    </w:p>
    <w:p w14:paraId="48A5CD84" w14:textId="72FDB789" w:rsidR="00812499" w:rsidRDefault="004F0133" w:rsidP="00812499">
      <w:pPr>
        <w:pStyle w:val="BodyText"/>
      </w:pPr>
      <w:r>
        <w:t>T</w:t>
      </w:r>
      <w:r w:rsidR="00812499">
        <w:t xml:space="preserve">he intended behaviour is that the eNB configures the feature for IDLE mode UEs in SI, and then possibly it changes the configuration for specific UEs in </w:t>
      </w:r>
      <w:r w:rsidR="0047026D">
        <w:t>RRC_</w:t>
      </w:r>
      <w:r w:rsidR="00812499">
        <w:t>CONNECTED mode</w:t>
      </w:r>
      <w:r w:rsidR="005227E4">
        <w:t>, also according to RAN1 agreements</w:t>
      </w:r>
      <w:r w:rsidR="00812499">
        <w:t xml:space="preserve">. </w:t>
      </w:r>
    </w:p>
    <w:p w14:paraId="00E545D7" w14:textId="181D70A9" w:rsidR="002737F3" w:rsidRDefault="003D2448" w:rsidP="00812499">
      <w:pPr>
        <w:pStyle w:val="BodyText"/>
      </w:pPr>
      <w:r>
        <w:t xml:space="preserve">In RAN2#107bis it was agreed that if the broadcasted configuration is not transmitted the UE should consider the feature disabled in </w:t>
      </w:r>
      <w:r w:rsidR="0047026D">
        <w:t>RRC_</w:t>
      </w:r>
      <w:r>
        <w:t xml:space="preserve">IDLE mode. The </w:t>
      </w:r>
      <w:r w:rsidR="004A339E">
        <w:t xml:space="preserve">behaviour </w:t>
      </w:r>
      <w:r>
        <w:t xml:space="preserve">in </w:t>
      </w:r>
      <w:r w:rsidR="0047026D">
        <w:t>RRC_</w:t>
      </w:r>
      <w:r>
        <w:t>CONNECTED, in a normal scenario, is configured through dedicated signalling, but if such signalling is not provided</w:t>
      </w:r>
      <w:r w:rsidR="0047026D">
        <w:t>, we have</w:t>
      </w:r>
      <w:r>
        <w:t xml:space="preserve"> </w:t>
      </w:r>
      <w:r w:rsidR="002737F3">
        <w:t>two options</w:t>
      </w:r>
      <w:r w:rsidR="0047026D">
        <w:t xml:space="preserve"> on how to define the UE behaviour</w:t>
      </w:r>
      <w:r w:rsidR="002737F3">
        <w:t>:</w:t>
      </w:r>
    </w:p>
    <w:p w14:paraId="771E2BF1" w14:textId="1D7C6398" w:rsidR="002737F3" w:rsidRDefault="002737F3" w:rsidP="002737F3">
      <w:pPr>
        <w:pStyle w:val="BodyText"/>
        <w:numPr>
          <w:ilvl w:val="0"/>
          <w:numId w:val="29"/>
        </w:numPr>
      </w:pPr>
      <w:r>
        <w:t xml:space="preserve">Option A: </w:t>
      </w:r>
      <w:r w:rsidR="0047026D">
        <w:t xml:space="preserve">UE shall </w:t>
      </w:r>
      <w:r w:rsidR="00E4284E">
        <w:t xml:space="preserve">consider the feature disabled </w:t>
      </w:r>
      <w:r w:rsidR="0047026D">
        <w:t>in RRC_CONNECTED</w:t>
      </w:r>
    </w:p>
    <w:p w14:paraId="1C29E9ED" w14:textId="6364F191" w:rsidR="003D2448" w:rsidRDefault="002737F3" w:rsidP="009E38CF">
      <w:pPr>
        <w:pStyle w:val="BodyText"/>
        <w:numPr>
          <w:ilvl w:val="0"/>
          <w:numId w:val="29"/>
        </w:numPr>
      </w:pPr>
      <w:r>
        <w:t xml:space="preserve">Option B: </w:t>
      </w:r>
      <w:r w:rsidR="0047026D">
        <w:t xml:space="preserve">UE shall </w:t>
      </w:r>
      <w:r w:rsidR="00E4284E">
        <w:t>reuse the broadcasted configuration</w:t>
      </w:r>
      <w:r w:rsidR="0047026D">
        <w:t xml:space="preserve"> in RRC_CONNECTED</w:t>
      </w:r>
    </w:p>
    <w:p w14:paraId="0DFFC8FF" w14:textId="1156B3CF" w:rsidR="00E4284E" w:rsidRDefault="004A553B" w:rsidP="00812499">
      <w:pPr>
        <w:pStyle w:val="BodyText"/>
      </w:pPr>
      <w:r>
        <w:t>Considering a UE camping in a cell</w:t>
      </w:r>
      <w:r w:rsidR="00EB71D7">
        <w:t>,</w:t>
      </w:r>
      <w:r w:rsidR="00E4284E">
        <w:t xml:space="preserve"> assuming </w:t>
      </w:r>
      <w:r w:rsidR="00B60EA2">
        <w:t>Option B</w:t>
      </w:r>
      <w:r w:rsidR="006F2E2A">
        <w:t xml:space="preserve"> is used</w:t>
      </w:r>
      <w:r w:rsidR="00EB71D7">
        <w:t>,</w:t>
      </w:r>
      <w:r w:rsidR="00E4284E">
        <w:t xml:space="preserve"> additional signalling </w:t>
      </w:r>
      <w:r w:rsidR="00EB71D7">
        <w:t xml:space="preserve">can be avoided </w:t>
      </w:r>
      <w:r w:rsidR="00E4284E">
        <w:t xml:space="preserve">in all those cases where it is not necessary to change the </w:t>
      </w:r>
      <w:r w:rsidR="0047026D">
        <w:t>RRC_</w:t>
      </w:r>
      <w:r w:rsidR="00E4284E">
        <w:t xml:space="preserve">CONNECTED configuration </w:t>
      </w:r>
      <w:proofErr w:type="spellStart"/>
      <w:r w:rsidR="00E4284E">
        <w:t>w.r.t.</w:t>
      </w:r>
      <w:proofErr w:type="spellEnd"/>
      <w:r w:rsidR="00E4284E">
        <w:t xml:space="preserve"> the broadcasted one, and thus it is preferable.</w:t>
      </w:r>
    </w:p>
    <w:p w14:paraId="4B3B40E7" w14:textId="7A7AAAF1" w:rsidR="002737F3" w:rsidRDefault="003D5865" w:rsidP="006957D9">
      <w:pPr>
        <w:pStyle w:val="Observation"/>
      </w:pPr>
      <w:bookmarkStart w:id="4" w:name="_Toc24035524"/>
      <w:r>
        <w:t>For a UE camping in a cell</w:t>
      </w:r>
      <w:r w:rsidR="00EB71D7">
        <w:t>,</w:t>
      </w:r>
      <w:r w:rsidR="00E4284E">
        <w:t xml:space="preserve"> assuming the broadcasted configuration is reused for CONNECTED when a dedicated one is not provided</w:t>
      </w:r>
      <w:r>
        <w:t>,</w:t>
      </w:r>
      <w:r w:rsidR="002737F3">
        <w:t xml:space="preserve"> (Option B)</w:t>
      </w:r>
      <w:r w:rsidR="00E4284E">
        <w:t xml:space="preserve"> allows to reduce the signalling</w:t>
      </w:r>
      <w:r w:rsidR="00AD2FD1">
        <w:t>.</w:t>
      </w:r>
      <w:bookmarkEnd w:id="4"/>
    </w:p>
    <w:p w14:paraId="15099CD7" w14:textId="185F41E1" w:rsidR="006957D9" w:rsidRDefault="006957D9" w:rsidP="00E4284E">
      <w:pPr>
        <w:pStyle w:val="BodyText"/>
      </w:pPr>
      <w:r>
        <w:t xml:space="preserve">The only drawback of Option B is that the </w:t>
      </w:r>
      <w:proofErr w:type="spellStart"/>
      <w:r w:rsidR="00B7465F">
        <w:t>e</w:t>
      </w:r>
      <w:r w:rsidR="00B7465F">
        <w:t>NB</w:t>
      </w:r>
      <w:proofErr w:type="spellEnd"/>
      <w:r w:rsidR="00B7465F">
        <w:t xml:space="preserve"> </w:t>
      </w:r>
      <w:proofErr w:type="gramStart"/>
      <w:r>
        <w:t>has to</w:t>
      </w:r>
      <w:proofErr w:type="gramEnd"/>
      <w:r>
        <w:t xml:space="preserve"> provide SIB1 and SIB2 in case of a handover as mentioned above. Nevertheless, this is necessary only if the configuration of the target and source cell is different and thus it has a negligible impact.</w:t>
      </w:r>
    </w:p>
    <w:p w14:paraId="48D9B9B4" w14:textId="4B29A722" w:rsidR="006957D9" w:rsidRDefault="006957D9" w:rsidP="00E4284E">
      <w:pPr>
        <w:pStyle w:val="BodyText"/>
      </w:pPr>
      <w:r>
        <w:t xml:space="preserve">Option A does not have </w:t>
      </w:r>
      <w:r w:rsidR="006F2E2A">
        <w:t xml:space="preserve">neither </w:t>
      </w:r>
      <w:r>
        <w:t>particular advantages nor disadvantages.</w:t>
      </w:r>
    </w:p>
    <w:p w14:paraId="511D7382" w14:textId="13343586" w:rsidR="00847703" w:rsidRDefault="00847703" w:rsidP="00E4284E">
      <w:pPr>
        <w:pStyle w:val="BodyText"/>
      </w:pPr>
      <w:r>
        <w:t xml:space="preserve">Considering all these aspects we propose to agree Option </w:t>
      </w:r>
      <w:r w:rsidR="006957D9">
        <w:t>B</w:t>
      </w:r>
      <w:r>
        <w:t xml:space="preserve"> in order to reduce </w:t>
      </w:r>
      <w:r w:rsidR="006957D9">
        <w:t>the signalling</w:t>
      </w:r>
      <w:r>
        <w:t>.</w:t>
      </w:r>
    </w:p>
    <w:p w14:paraId="41D06D24" w14:textId="7A393799" w:rsidR="002E2254" w:rsidRDefault="009E38CF" w:rsidP="00E61DEB">
      <w:pPr>
        <w:pStyle w:val="Proposal"/>
      </w:pPr>
      <w:bookmarkStart w:id="5" w:name="_Toc24035525"/>
      <w:r w:rsidRPr="009E38CF">
        <w:t xml:space="preserve">If a dedicated configuration is not provided, the UE </w:t>
      </w:r>
      <w:bookmarkStart w:id="6" w:name="_Toc23518456"/>
      <w:bookmarkStart w:id="7" w:name="_Toc23518477"/>
      <w:bookmarkStart w:id="8" w:name="_Toc23518329"/>
      <w:bookmarkStart w:id="9" w:name="_Toc23518341"/>
      <w:bookmarkStart w:id="10" w:name="_Toc23518359"/>
      <w:bookmarkStart w:id="11" w:name="_Toc23518383"/>
      <w:bookmarkEnd w:id="6"/>
      <w:bookmarkEnd w:id="7"/>
      <w:bookmarkEnd w:id="8"/>
      <w:bookmarkEnd w:id="9"/>
      <w:bookmarkEnd w:id="10"/>
      <w:bookmarkEnd w:id="11"/>
      <w:r w:rsidR="006957D9">
        <w:t>reuses the broadcasted configuration</w:t>
      </w:r>
      <w:r w:rsidR="00AD2FD1">
        <w:t>.</w:t>
      </w:r>
      <w:bookmarkEnd w:id="5"/>
    </w:p>
    <w:p w14:paraId="6D0B19FA" w14:textId="4ECD2D0B" w:rsidR="00812499" w:rsidRPr="00812499" w:rsidRDefault="00812499" w:rsidP="00812499">
      <w:pPr>
        <w:pStyle w:val="Heading2"/>
        <w:ind w:left="0" w:firstLine="0"/>
        <w:rPr>
          <w:lang w:val="en-US"/>
        </w:rPr>
      </w:pPr>
      <w:r>
        <w:rPr>
          <w:lang w:val="en-US"/>
        </w:rPr>
        <w:t>2.</w:t>
      </w:r>
      <w:r w:rsidR="007A4A94">
        <w:rPr>
          <w:lang w:val="en-US"/>
        </w:rPr>
        <w:t>2</w:t>
      </w:r>
      <w:r>
        <w:rPr>
          <w:lang w:val="en-US"/>
        </w:rPr>
        <w:tab/>
      </w:r>
      <w:r>
        <w:rPr>
          <w:lang w:val="en-US"/>
        </w:rPr>
        <w:tab/>
        <w:t xml:space="preserve">Details of </w:t>
      </w:r>
      <w:r w:rsidR="00847703">
        <w:rPr>
          <w:lang w:val="en-US"/>
        </w:rPr>
        <w:t>signaling</w:t>
      </w:r>
    </w:p>
    <w:p w14:paraId="121D6915" w14:textId="0EACFE90" w:rsidR="00151654" w:rsidRDefault="00151654" w:rsidP="00151654">
      <w:pPr>
        <w:pStyle w:val="BodyText"/>
      </w:pPr>
      <w:r>
        <w:t xml:space="preserve">In </w:t>
      </w:r>
      <w:r w:rsidR="00CD1FC0">
        <w:t>the running CRs for TS 36.331,</w:t>
      </w:r>
      <w:r>
        <w:t xml:space="preserve"> a new IE (</w:t>
      </w:r>
      <w:r w:rsidRPr="00A4417B">
        <w:rPr>
          <w:i/>
        </w:rPr>
        <w:t>CRS-</w:t>
      </w:r>
      <w:proofErr w:type="spellStart"/>
      <w:r w:rsidRPr="00A4417B">
        <w:rPr>
          <w:i/>
        </w:rPr>
        <w:t>ChEstMPDCCH</w:t>
      </w:r>
      <w:proofErr w:type="spellEnd"/>
      <w:r w:rsidRPr="00A4417B">
        <w:rPr>
          <w:i/>
        </w:rPr>
        <w:t>-Config</w:t>
      </w:r>
      <w:r>
        <w:t xml:space="preserve">) </w:t>
      </w:r>
      <w:r w:rsidR="00A61C92">
        <w:t xml:space="preserve">in </w:t>
      </w:r>
      <w:proofErr w:type="spellStart"/>
      <w:r w:rsidR="00A61C92">
        <w:rPr>
          <w:i/>
        </w:rPr>
        <w:t>RadioResourceConfigDedicated</w:t>
      </w:r>
      <w:proofErr w:type="spellEnd"/>
      <w:r w:rsidR="00F91893" w:rsidRPr="009E38CF">
        <w:t xml:space="preserve"> and </w:t>
      </w:r>
      <w:r w:rsidR="00F91893">
        <w:rPr>
          <w:i/>
        </w:rPr>
        <w:t xml:space="preserve">SystemInformationBlockType2-BR </w:t>
      </w:r>
      <w:r>
        <w:t>has been introduced. We assume this IE will eventually contain all the configuration related to MPDCCH improvements</w:t>
      </w:r>
      <w:r w:rsidR="00F91893">
        <w:t xml:space="preserve"> which will be present or not depending on whether it is a broadcasted or dedicated configuration</w:t>
      </w:r>
      <w:r>
        <w:t>.</w:t>
      </w:r>
      <w:r w:rsidR="00A61C92">
        <w:t xml:space="preserve"> </w:t>
      </w:r>
    </w:p>
    <w:p w14:paraId="53F115EA" w14:textId="6018DE32" w:rsidR="00151654" w:rsidRDefault="00135BD3" w:rsidP="00151654">
      <w:pPr>
        <w:pStyle w:val="Proposal"/>
      </w:pPr>
      <w:bookmarkStart w:id="12" w:name="_Toc20838002"/>
      <w:bookmarkStart w:id="13" w:name="_Toc24035526"/>
      <w:r>
        <w:t xml:space="preserve">When transmitted in SIB2, </w:t>
      </w:r>
      <w:r>
        <w:rPr>
          <w:i/>
          <w:noProof/>
        </w:rPr>
        <w:t xml:space="preserve">CRS-ChEstMPDCCH-Config </w:t>
      </w:r>
      <w:r w:rsidRPr="00B6035D">
        <w:rPr>
          <w:noProof/>
        </w:rPr>
        <w:t xml:space="preserve">shall contain </w:t>
      </w:r>
      <w:r w:rsidR="007772B7">
        <w:rPr>
          <w:noProof/>
        </w:rPr>
        <w:t xml:space="preserve">the </w:t>
      </w:r>
      <w:r w:rsidRPr="00B6035D">
        <w:rPr>
          <w:noProof/>
        </w:rPr>
        <w:t>power</w:t>
      </w:r>
      <w:r w:rsidR="007772B7">
        <w:rPr>
          <w:noProof/>
        </w:rPr>
        <w:t>-ratio</w:t>
      </w:r>
      <w:r w:rsidRPr="00B6035D">
        <w:rPr>
          <w:noProof/>
        </w:rPr>
        <w:t xml:space="preserve"> </w:t>
      </w:r>
      <w:r w:rsidR="007772B7" w:rsidRPr="00B6035D">
        <w:rPr>
          <w:noProof/>
        </w:rPr>
        <w:t xml:space="preserve">and the CRS configuration </w:t>
      </w:r>
      <w:r>
        <w:rPr>
          <w:noProof/>
        </w:rPr>
        <w:t>to be applied to IDLE</w:t>
      </w:r>
      <w:r w:rsidR="00151654">
        <w:rPr>
          <w:noProof/>
        </w:rPr>
        <w:t>.</w:t>
      </w:r>
      <w:bookmarkEnd w:id="12"/>
      <w:bookmarkEnd w:id="13"/>
    </w:p>
    <w:p w14:paraId="62E2A565" w14:textId="69C1C8F4" w:rsidR="00151654" w:rsidRDefault="00151654" w:rsidP="00151654">
      <w:pPr>
        <w:pStyle w:val="Proposal"/>
      </w:pPr>
      <w:bookmarkStart w:id="14" w:name="_Toc20838003"/>
      <w:bookmarkStart w:id="15" w:name="_Toc24035527"/>
      <w:r>
        <w:rPr>
          <w:noProof/>
          <w:lang w:eastAsia="en-GB"/>
        </w:rPr>
        <w:t xml:space="preserve">When transmitted in </w:t>
      </w:r>
      <w:proofErr w:type="spellStart"/>
      <w:r w:rsidRPr="00C12ADF">
        <w:rPr>
          <w:i/>
          <w:lang w:eastAsia="en-GB"/>
        </w:rPr>
        <w:t>RadioResourceConfigDedicated</w:t>
      </w:r>
      <w:proofErr w:type="spellEnd"/>
      <w:r>
        <w:rPr>
          <w:noProof/>
          <w:lang w:eastAsia="en-GB"/>
        </w:rPr>
        <w:t xml:space="preserve">, </w:t>
      </w:r>
      <w:r>
        <w:rPr>
          <w:i/>
          <w:noProof/>
          <w:lang w:eastAsia="en-GB"/>
        </w:rPr>
        <w:t xml:space="preserve">CRS-ChEstMPDCCH-Config </w:t>
      </w:r>
      <w:r w:rsidRPr="00B6035D">
        <w:rPr>
          <w:noProof/>
          <w:lang w:eastAsia="en-GB"/>
        </w:rPr>
        <w:t xml:space="preserve">shall contain the </w:t>
      </w:r>
      <w:bookmarkStart w:id="16" w:name="_Hlk21006958"/>
      <w:r w:rsidRPr="00B6035D">
        <w:rPr>
          <w:noProof/>
          <w:lang w:eastAsia="en-GB"/>
        </w:rPr>
        <w:t xml:space="preserve">CRS configuration </w:t>
      </w:r>
      <w:bookmarkEnd w:id="16"/>
      <w:r w:rsidRPr="00B6035D">
        <w:rPr>
          <w:noProof/>
          <w:lang w:eastAsia="en-GB"/>
        </w:rPr>
        <w:t xml:space="preserve">to be </w:t>
      </w:r>
      <w:r w:rsidR="0025567A">
        <w:rPr>
          <w:noProof/>
          <w:lang w:eastAsia="en-GB"/>
        </w:rPr>
        <w:t>applied only</w:t>
      </w:r>
      <w:r w:rsidRPr="00B6035D">
        <w:rPr>
          <w:noProof/>
          <w:lang w:eastAsia="en-GB"/>
        </w:rPr>
        <w:t xml:space="preserve"> for </w:t>
      </w:r>
      <w:r>
        <w:rPr>
          <w:noProof/>
          <w:lang w:eastAsia="en-GB"/>
        </w:rPr>
        <w:t>CONNECTED</w:t>
      </w:r>
      <w:r w:rsidRPr="00B6035D">
        <w:rPr>
          <w:noProof/>
          <w:lang w:eastAsia="en-GB"/>
        </w:rPr>
        <w:t xml:space="preserve"> mode</w:t>
      </w:r>
      <w:r>
        <w:rPr>
          <w:noProof/>
          <w:lang w:eastAsia="en-GB"/>
        </w:rPr>
        <w:t>.</w:t>
      </w:r>
      <w:bookmarkEnd w:id="14"/>
      <w:bookmarkEnd w:id="15"/>
    </w:p>
    <w:p w14:paraId="2BF00968" w14:textId="1E2963EC" w:rsidR="00151654" w:rsidRDefault="00151654" w:rsidP="00151654">
      <w:pPr>
        <w:pStyle w:val="BodyText"/>
      </w:pPr>
      <w:r>
        <w:t xml:space="preserve">In other words, the </w:t>
      </w:r>
      <w:r w:rsidR="00E700FC">
        <w:rPr>
          <w:i/>
        </w:rPr>
        <w:t>power-ratio</w:t>
      </w:r>
      <w:bookmarkStart w:id="17" w:name="_GoBack"/>
      <w:bookmarkEnd w:id="17"/>
      <w:r>
        <w:t xml:space="preserve"> is configured only through SIB2 both for IDLE and CONNECTED mode.</w:t>
      </w:r>
    </w:p>
    <w:p w14:paraId="50AE41FC" w14:textId="7D1A2FEC" w:rsidR="00C01F33" w:rsidRPr="00CE0424" w:rsidRDefault="00151654" w:rsidP="00CE0424">
      <w:pPr>
        <w:pStyle w:val="Heading1"/>
      </w:pPr>
      <w:r>
        <w:lastRenderedPageBreak/>
        <w:t>3</w:t>
      </w:r>
      <w:r w:rsidR="00EC4447">
        <w:tab/>
      </w:r>
      <w:r w:rsidR="00C01F33" w:rsidRPr="00CE0424">
        <w:t>Conclusion</w:t>
      </w:r>
    </w:p>
    <w:p w14:paraId="48264CE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18" w:name="_Hlk23518274"/>
    <w:p w14:paraId="605874F5" w14:textId="77777777" w:rsidR="00B2341D"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24035522" w:history="1">
        <w:r w:rsidR="00B2341D" w:rsidRPr="003638D9">
          <w:rPr>
            <w:rStyle w:val="Hyperlink"/>
            <w:noProof/>
          </w:rPr>
          <w:t>Observation 1</w:t>
        </w:r>
        <w:r w:rsidR="00B2341D">
          <w:rPr>
            <w:rFonts w:asciiTheme="minorHAnsi" w:eastAsiaTheme="minorEastAsia" w:hAnsiTheme="minorHAnsi" w:cstheme="minorBidi"/>
            <w:b w:val="0"/>
            <w:noProof/>
            <w:sz w:val="22"/>
            <w:szCs w:val="22"/>
            <w:lang w:eastAsia="en-GB"/>
          </w:rPr>
          <w:tab/>
        </w:r>
        <w:r w:rsidR="00B2341D" w:rsidRPr="003638D9">
          <w:rPr>
            <w:rStyle w:val="Hyperlink"/>
            <w:noProof/>
          </w:rPr>
          <w:t>The feature in object is intended to be used only to improve MPDCCH decoding performance when supported. UEs not supporting, or configured with the feature disabled, can decode MPDCCH as in legacy even when eNB enabled the feature</w:t>
        </w:r>
      </w:hyperlink>
    </w:p>
    <w:p w14:paraId="3C8BCF85" w14:textId="77777777" w:rsidR="00B2341D" w:rsidRDefault="00E700FC">
      <w:pPr>
        <w:pStyle w:val="TableofFigures"/>
        <w:tabs>
          <w:tab w:val="right" w:leader="dot" w:pos="9629"/>
        </w:tabs>
        <w:rPr>
          <w:rFonts w:asciiTheme="minorHAnsi" w:eastAsiaTheme="minorEastAsia" w:hAnsiTheme="minorHAnsi" w:cstheme="minorBidi"/>
          <w:b w:val="0"/>
          <w:noProof/>
          <w:sz w:val="22"/>
          <w:szCs w:val="22"/>
          <w:lang w:eastAsia="en-GB"/>
        </w:rPr>
      </w:pPr>
      <w:hyperlink w:anchor="_Toc24035523" w:history="1">
        <w:r w:rsidR="00B2341D" w:rsidRPr="003638D9">
          <w:rPr>
            <w:rStyle w:val="Hyperlink"/>
            <w:noProof/>
          </w:rPr>
          <w:t>Observation 2</w:t>
        </w:r>
        <w:r w:rsidR="00B2341D">
          <w:rPr>
            <w:rFonts w:asciiTheme="minorHAnsi" w:eastAsiaTheme="minorEastAsia" w:hAnsiTheme="minorHAnsi" w:cstheme="minorBidi"/>
            <w:b w:val="0"/>
            <w:noProof/>
            <w:sz w:val="22"/>
            <w:szCs w:val="22"/>
            <w:lang w:eastAsia="en-GB"/>
          </w:rPr>
          <w:tab/>
        </w:r>
        <w:r w:rsidR="00B2341D" w:rsidRPr="003638D9">
          <w:rPr>
            <w:rStyle w:val="Hyperlink"/>
            <w:noProof/>
          </w:rPr>
          <w:t>Legacy procedures can be used to avoid configuration ambiguities</w:t>
        </w:r>
      </w:hyperlink>
    </w:p>
    <w:p w14:paraId="5AA4E619" w14:textId="77777777" w:rsidR="00B2341D" w:rsidRDefault="00E700FC">
      <w:pPr>
        <w:pStyle w:val="TableofFigures"/>
        <w:tabs>
          <w:tab w:val="right" w:leader="dot" w:pos="9629"/>
        </w:tabs>
        <w:rPr>
          <w:rFonts w:asciiTheme="minorHAnsi" w:eastAsiaTheme="minorEastAsia" w:hAnsiTheme="minorHAnsi" w:cstheme="minorBidi"/>
          <w:b w:val="0"/>
          <w:noProof/>
          <w:sz w:val="22"/>
          <w:szCs w:val="22"/>
          <w:lang w:eastAsia="en-GB"/>
        </w:rPr>
      </w:pPr>
      <w:hyperlink w:anchor="_Toc24035524" w:history="1">
        <w:r w:rsidR="00B2341D" w:rsidRPr="003638D9">
          <w:rPr>
            <w:rStyle w:val="Hyperlink"/>
            <w:noProof/>
          </w:rPr>
          <w:t>Observation 3</w:t>
        </w:r>
        <w:r w:rsidR="00B2341D">
          <w:rPr>
            <w:rFonts w:asciiTheme="minorHAnsi" w:eastAsiaTheme="minorEastAsia" w:hAnsiTheme="minorHAnsi" w:cstheme="minorBidi"/>
            <w:b w:val="0"/>
            <w:noProof/>
            <w:sz w:val="22"/>
            <w:szCs w:val="22"/>
            <w:lang w:eastAsia="en-GB"/>
          </w:rPr>
          <w:tab/>
        </w:r>
        <w:r w:rsidR="00B2341D" w:rsidRPr="003638D9">
          <w:rPr>
            <w:rStyle w:val="Hyperlink"/>
            <w:noProof/>
          </w:rPr>
          <w:t>For a UE camping in a cell, assuming the broadcasted configuration is reused for CONNECTED when a dedicated one is not provided, (Option B) allows to reduce the signalling.</w:t>
        </w:r>
      </w:hyperlink>
    </w:p>
    <w:p w14:paraId="0EC4199F" w14:textId="04D0FBCC" w:rsidR="006E1C82" w:rsidRDefault="006F6582" w:rsidP="008E065E">
      <w:pPr>
        <w:pStyle w:val="BodyText"/>
        <w:rPr>
          <w:b/>
          <w:bCs/>
        </w:rPr>
      </w:pPr>
      <w:r>
        <w:rPr>
          <w:b/>
          <w:bCs/>
        </w:rPr>
        <w:fldChar w:fldCharType="end"/>
      </w:r>
    </w:p>
    <w:p w14:paraId="1417A90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FE69B17" w14:textId="77777777" w:rsidR="00B2341D"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35525" w:history="1">
        <w:r w:rsidR="00B2341D" w:rsidRPr="00D07485">
          <w:rPr>
            <w:rStyle w:val="Hyperlink"/>
            <w:noProof/>
          </w:rPr>
          <w:t>Proposal 1</w:t>
        </w:r>
        <w:r w:rsidR="00B2341D">
          <w:rPr>
            <w:rFonts w:asciiTheme="minorHAnsi" w:eastAsiaTheme="minorEastAsia" w:hAnsiTheme="minorHAnsi" w:cstheme="minorBidi"/>
            <w:b w:val="0"/>
            <w:noProof/>
            <w:sz w:val="22"/>
            <w:szCs w:val="22"/>
            <w:lang w:eastAsia="en-GB"/>
          </w:rPr>
          <w:tab/>
        </w:r>
        <w:r w:rsidR="00B2341D" w:rsidRPr="00D07485">
          <w:rPr>
            <w:rStyle w:val="Hyperlink"/>
            <w:noProof/>
          </w:rPr>
          <w:t>If a dedicated configuration is not provided, the UE reuses the broadcasted configuration.</w:t>
        </w:r>
      </w:hyperlink>
    </w:p>
    <w:p w14:paraId="3CD887F0" w14:textId="77777777" w:rsidR="00B2341D" w:rsidRDefault="00E700FC">
      <w:pPr>
        <w:pStyle w:val="TableofFigures"/>
        <w:tabs>
          <w:tab w:val="right" w:leader="dot" w:pos="9629"/>
        </w:tabs>
        <w:rPr>
          <w:rFonts w:asciiTheme="minorHAnsi" w:eastAsiaTheme="minorEastAsia" w:hAnsiTheme="minorHAnsi" w:cstheme="minorBidi"/>
          <w:b w:val="0"/>
          <w:noProof/>
          <w:sz w:val="22"/>
          <w:szCs w:val="22"/>
          <w:lang w:eastAsia="en-GB"/>
        </w:rPr>
      </w:pPr>
      <w:hyperlink w:anchor="_Toc24035526" w:history="1">
        <w:r w:rsidR="00B2341D" w:rsidRPr="00D07485">
          <w:rPr>
            <w:rStyle w:val="Hyperlink"/>
            <w:noProof/>
          </w:rPr>
          <w:t>Proposal 2</w:t>
        </w:r>
        <w:r w:rsidR="00B2341D">
          <w:rPr>
            <w:rFonts w:asciiTheme="minorHAnsi" w:eastAsiaTheme="minorEastAsia" w:hAnsiTheme="minorHAnsi" w:cstheme="minorBidi"/>
            <w:b w:val="0"/>
            <w:noProof/>
            <w:sz w:val="22"/>
            <w:szCs w:val="22"/>
            <w:lang w:eastAsia="en-GB"/>
          </w:rPr>
          <w:tab/>
        </w:r>
        <w:r w:rsidR="00B2341D" w:rsidRPr="00D07485">
          <w:rPr>
            <w:rStyle w:val="Hyperlink"/>
            <w:noProof/>
          </w:rPr>
          <w:t xml:space="preserve">When transmitted in SIB2, </w:t>
        </w:r>
        <w:r w:rsidR="00B2341D" w:rsidRPr="00D07485">
          <w:rPr>
            <w:rStyle w:val="Hyperlink"/>
            <w:i/>
            <w:noProof/>
          </w:rPr>
          <w:t xml:space="preserve">CRS-ChEstMPDCCH-Config </w:t>
        </w:r>
        <w:r w:rsidR="00B2341D" w:rsidRPr="00D07485">
          <w:rPr>
            <w:rStyle w:val="Hyperlink"/>
            <w:noProof/>
          </w:rPr>
          <w:t>shall contain the power-ratio and the CRS configuration to be applied to IDLE.</w:t>
        </w:r>
      </w:hyperlink>
    </w:p>
    <w:p w14:paraId="59E3E012" w14:textId="77777777" w:rsidR="00B2341D" w:rsidRDefault="00E700FC">
      <w:pPr>
        <w:pStyle w:val="TableofFigures"/>
        <w:tabs>
          <w:tab w:val="right" w:leader="dot" w:pos="9629"/>
        </w:tabs>
        <w:rPr>
          <w:rFonts w:asciiTheme="minorHAnsi" w:eastAsiaTheme="minorEastAsia" w:hAnsiTheme="minorHAnsi" w:cstheme="minorBidi"/>
          <w:b w:val="0"/>
          <w:noProof/>
          <w:sz w:val="22"/>
          <w:szCs w:val="22"/>
          <w:lang w:eastAsia="en-GB"/>
        </w:rPr>
      </w:pPr>
      <w:hyperlink w:anchor="_Toc24035527" w:history="1">
        <w:r w:rsidR="00B2341D" w:rsidRPr="00D07485">
          <w:rPr>
            <w:rStyle w:val="Hyperlink"/>
            <w:noProof/>
          </w:rPr>
          <w:t>Proposal 3</w:t>
        </w:r>
        <w:r w:rsidR="00B2341D">
          <w:rPr>
            <w:rFonts w:asciiTheme="minorHAnsi" w:eastAsiaTheme="minorEastAsia" w:hAnsiTheme="minorHAnsi" w:cstheme="minorBidi"/>
            <w:b w:val="0"/>
            <w:noProof/>
            <w:sz w:val="22"/>
            <w:szCs w:val="22"/>
            <w:lang w:eastAsia="en-GB"/>
          </w:rPr>
          <w:tab/>
        </w:r>
        <w:r w:rsidR="00B2341D" w:rsidRPr="00D07485">
          <w:rPr>
            <w:rStyle w:val="Hyperlink"/>
            <w:noProof/>
            <w:lang w:eastAsia="en-GB"/>
          </w:rPr>
          <w:t xml:space="preserve">When transmitted in </w:t>
        </w:r>
        <w:r w:rsidR="00B2341D" w:rsidRPr="00D07485">
          <w:rPr>
            <w:rStyle w:val="Hyperlink"/>
            <w:i/>
            <w:noProof/>
            <w:lang w:eastAsia="en-GB"/>
          </w:rPr>
          <w:t>RadioResourceConfigDedicated</w:t>
        </w:r>
        <w:r w:rsidR="00B2341D" w:rsidRPr="00D07485">
          <w:rPr>
            <w:rStyle w:val="Hyperlink"/>
            <w:noProof/>
            <w:lang w:eastAsia="en-GB"/>
          </w:rPr>
          <w:t xml:space="preserve">, </w:t>
        </w:r>
        <w:r w:rsidR="00B2341D" w:rsidRPr="00D07485">
          <w:rPr>
            <w:rStyle w:val="Hyperlink"/>
            <w:i/>
            <w:noProof/>
            <w:lang w:eastAsia="en-GB"/>
          </w:rPr>
          <w:t xml:space="preserve">CRS-ChEstMPDCCH-Config </w:t>
        </w:r>
        <w:r w:rsidR="00B2341D" w:rsidRPr="00D07485">
          <w:rPr>
            <w:rStyle w:val="Hyperlink"/>
            <w:noProof/>
            <w:lang w:eastAsia="en-GB"/>
          </w:rPr>
          <w:t>shall contain the CRS configuration to be applied only for CONNECTED mode.</w:t>
        </w:r>
      </w:hyperlink>
    </w:p>
    <w:p w14:paraId="5AB16299" w14:textId="353AE817" w:rsidR="006E1C82" w:rsidRPr="00CE0424" w:rsidRDefault="006E1C82" w:rsidP="006E1C82">
      <w:pPr>
        <w:pStyle w:val="BodyText"/>
        <w:rPr>
          <w:b/>
          <w:bCs/>
        </w:rPr>
      </w:pPr>
      <w:r>
        <w:rPr>
          <w:b/>
          <w:bCs/>
          <w:lang w:val="en-US"/>
        </w:rPr>
        <w:fldChar w:fldCharType="end"/>
      </w:r>
      <w:bookmarkEnd w:id="18"/>
      <w:r w:rsidRPr="00CE0424">
        <w:rPr>
          <w:b/>
          <w:bCs/>
        </w:rPr>
        <w:t xml:space="preserve"> </w:t>
      </w:r>
    </w:p>
    <w:p w14:paraId="02FC557F" w14:textId="45EFBA3F" w:rsidR="00F507D1" w:rsidRPr="00CE0424" w:rsidRDefault="00151654" w:rsidP="00CE0424">
      <w:pPr>
        <w:pStyle w:val="Heading1"/>
      </w:pPr>
      <w:bookmarkStart w:id="19" w:name="_In-sequence_SDU_delivery"/>
      <w:bookmarkEnd w:id="19"/>
      <w:r>
        <w:t>4</w:t>
      </w:r>
      <w:r w:rsidR="00EC4447">
        <w:tab/>
      </w:r>
      <w:r w:rsidR="00F507D1" w:rsidRPr="00CE0424">
        <w:t>References</w:t>
      </w:r>
    </w:p>
    <w:bookmarkStart w:id="20" w:name="_Ref532550547"/>
    <w:bookmarkStart w:id="21" w:name="_Hlk4155438"/>
    <w:bookmarkStart w:id="22" w:name="_Ref521234735"/>
    <w:bookmarkStart w:id="23" w:name="_Ref174151459"/>
    <w:bookmarkStart w:id="24" w:name="_Ref189809556"/>
    <w:p w14:paraId="7D5A0A6B" w14:textId="7EBD9A4F" w:rsidR="00151654" w:rsidRPr="00BE5246" w:rsidRDefault="00151654" w:rsidP="00151654">
      <w:pPr>
        <w:pStyle w:val="Reference"/>
      </w:pPr>
      <w:r w:rsidRPr="00BE5246">
        <w:fldChar w:fldCharType="begin"/>
      </w:r>
      <w:r w:rsidRPr="00BE5246">
        <w:instrText>HYPERLINK "https://www.3gpp.org/ftp/tsg_ran/TSG_RAN/TSGR_84/Docs/RP-191356.zip"</w:instrText>
      </w:r>
      <w:r w:rsidRPr="00BE5246">
        <w:fldChar w:fldCharType="separate"/>
      </w:r>
      <w:r w:rsidRPr="00BE5246">
        <w:rPr>
          <w:rStyle w:val="Hyperlink"/>
        </w:rPr>
        <w:t>RP-191356</w:t>
      </w:r>
      <w:r w:rsidRPr="00BE5246">
        <w:fldChar w:fldCharType="end"/>
      </w:r>
      <w:r w:rsidRPr="00BE5246">
        <w:t>, Additional MTC enhancements for LTE, Newport Beach, USA, June 2019</w:t>
      </w:r>
      <w:bookmarkEnd w:id="20"/>
    </w:p>
    <w:bookmarkStart w:id="25" w:name="_Ref20300053"/>
    <w:bookmarkStart w:id="26" w:name="_Ref365775"/>
    <w:bookmarkStart w:id="27" w:name="_Hlk4155498"/>
    <w:bookmarkStart w:id="28" w:name="_Ref338342"/>
    <w:bookmarkEnd w:id="21"/>
    <w:bookmarkEnd w:id="22"/>
    <w:bookmarkEnd w:id="23"/>
    <w:bookmarkEnd w:id="24"/>
    <w:p w14:paraId="024EB8CA" w14:textId="5E5C9DDC" w:rsidR="00151654" w:rsidRPr="00145FB3" w:rsidRDefault="00456178" w:rsidP="00151654">
      <w:pPr>
        <w:pStyle w:val="Reference"/>
      </w:pPr>
      <w:r>
        <w:fldChar w:fldCharType="begin"/>
      </w:r>
      <w:r>
        <w:instrText>HYPERLINK "https://www.3gpp.org/ftp/tsg_ran/WG1_RL1/TSGR1_98b/Docs/R1-1911573.zip"</w:instrText>
      </w:r>
      <w:r>
        <w:fldChar w:fldCharType="separate"/>
      </w:r>
      <w:r>
        <w:rPr>
          <w:rStyle w:val="Hyperlink"/>
        </w:rPr>
        <w:t>R1-1911573</w:t>
      </w:r>
      <w:r>
        <w:rPr>
          <w:rStyle w:val="Hyperlink"/>
        </w:rPr>
        <w:fldChar w:fldCharType="end"/>
      </w:r>
      <w:r w:rsidRPr="00145FB3">
        <w:t>, RAN1 agreements for Rel-16 Additional MTC Enhancements for LTE</w:t>
      </w:r>
      <w:bookmarkEnd w:id="25"/>
      <w:r w:rsidRPr="00145FB3">
        <w:t xml:space="preserve">, </w:t>
      </w:r>
      <w:r>
        <w:t>Chongqing, China, October 2019</w:t>
      </w:r>
    </w:p>
    <w:bookmarkStart w:id="29" w:name="_Ref20300095"/>
    <w:bookmarkStart w:id="30" w:name="_Ref7079980"/>
    <w:p w14:paraId="2113D20F" w14:textId="2220F9C9" w:rsidR="00151654" w:rsidRPr="00145FB3" w:rsidRDefault="00456178" w:rsidP="00151654">
      <w:pPr>
        <w:pStyle w:val="Reference"/>
      </w:pPr>
      <w:r w:rsidRPr="00145FB3">
        <w:fldChar w:fldCharType="begin"/>
      </w:r>
      <w:r>
        <w:instrText>HYPERLINK "https://www.3gpp.org/ftp/tsg_ran/WG2_RL2/TSGR2_107bis/Docs/R2-1914102.zip"</w:instrText>
      </w:r>
      <w:r w:rsidRPr="00145FB3">
        <w:fldChar w:fldCharType="separate"/>
      </w:r>
      <w:r>
        <w:rPr>
          <w:rStyle w:val="Hyperlink"/>
        </w:rPr>
        <w:t>R2-1914102</w:t>
      </w:r>
      <w:r w:rsidRPr="00145FB3">
        <w:fldChar w:fldCharType="end"/>
      </w:r>
      <w:r w:rsidRPr="00145FB3">
        <w:t xml:space="preserve">, RAN2 agreements for Rel-16 additional enhancements for NB-IoT and MTC, </w:t>
      </w:r>
      <w:bookmarkEnd w:id="29"/>
      <w:r>
        <w:t>Chongqing, China, October 2019</w:t>
      </w:r>
      <w:bookmarkEnd w:id="30"/>
    </w:p>
    <w:bookmarkStart w:id="31" w:name="_Ref6413251"/>
    <w:bookmarkStart w:id="32" w:name="_Hlk4155488"/>
    <w:bookmarkStart w:id="33" w:name="_Ref338351"/>
    <w:bookmarkEnd w:id="26"/>
    <w:bookmarkEnd w:id="27"/>
    <w:bookmarkEnd w:id="28"/>
    <w:p w14:paraId="106E5788" w14:textId="5F57E2DF" w:rsidR="00151654" w:rsidRPr="002440EB" w:rsidRDefault="00151654" w:rsidP="00151654">
      <w:pPr>
        <w:pStyle w:val="Reference"/>
      </w:pPr>
      <w:r>
        <w:fldChar w:fldCharType="begin"/>
      </w:r>
      <w:r w:rsidR="00DE66F0">
        <w:instrText>HYPERLINK "https://www.3gpp.org/ftp/TSG_RAN/WG2_RL2/TSGR2_107bis/Docs/R2-1913114.zip"</w:instrText>
      </w:r>
      <w:r>
        <w:fldChar w:fldCharType="separate"/>
      </w:r>
      <w:r w:rsidRPr="006B6750">
        <w:rPr>
          <w:rStyle w:val="Hyperlink"/>
        </w:rPr>
        <w:t>R2-</w:t>
      </w:r>
      <w:r w:rsidR="00DE66F0" w:rsidRPr="00DE66F0">
        <w:rPr>
          <w:rStyle w:val="Hyperlink"/>
        </w:rPr>
        <w:t>1913114</w:t>
      </w:r>
      <w:bookmarkEnd w:id="31"/>
      <w:r>
        <w:fldChar w:fldCharType="end"/>
      </w:r>
      <w:r>
        <w:t xml:space="preserve">, </w:t>
      </w:r>
      <w:r w:rsidRPr="006B6750">
        <w:t>MPDCCH performance improvement for LTE-M</w:t>
      </w:r>
      <w:r>
        <w:t xml:space="preserve">, </w:t>
      </w:r>
      <w:proofErr w:type="spellStart"/>
      <w:r w:rsidR="00DE66F0">
        <w:t>Chongqin</w:t>
      </w:r>
      <w:proofErr w:type="spellEnd"/>
      <w:r w:rsidR="00DE66F0">
        <w:t>, China</w:t>
      </w:r>
      <w:r w:rsidRPr="00145FB3">
        <w:t xml:space="preserve">, </w:t>
      </w:r>
      <w:r w:rsidR="00DE66F0">
        <w:t>October</w:t>
      </w:r>
      <w:r w:rsidR="00DE66F0" w:rsidRPr="00145FB3">
        <w:t xml:space="preserve"> </w:t>
      </w:r>
      <w:r w:rsidRPr="00145FB3">
        <w:t>2019</w:t>
      </w:r>
    </w:p>
    <w:p w14:paraId="7420AADC" w14:textId="6818678D" w:rsidR="00151654" w:rsidRDefault="00151654" w:rsidP="00151654">
      <w:pPr>
        <w:pStyle w:val="Reference"/>
      </w:pPr>
      <w:bookmarkStart w:id="34" w:name="_Ref516605"/>
      <w:bookmarkEnd w:id="32"/>
      <w:bookmarkEnd w:id="33"/>
      <w:r>
        <w:t>TS 36.331</w:t>
      </w:r>
      <w:bookmarkEnd w:id="34"/>
      <w:r>
        <w:t>, v15.</w:t>
      </w:r>
      <w:r w:rsidR="00456178">
        <w:t>7</w:t>
      </w:r>
      <w:r>
        <w:t>.0</w:t>
      </w:r>
    </w:p>
    <w:bookmarkStart w:id="35" w:name="_Ref22914345"/>
    <w:p w14:paraId="5C8E8505" w14:textId="20C5CDB3" w:rsidR="00F91893" w:rsidRPr="00CE0424" w:rsidRDefault="00456178" w:rsidP="00CE0424">
      <w:pPr>
        <w:pStyle w:val="Reference"/>
      </w:pPr>
      <w:r>
        <w:fldChar w:fldCharType="begin"/>
      </w:r>
      <w:r>
        <w:instrText xml:space="preserve"> HYPERLINK "https://www.3gpp.org/ftp/tsg_ran/WG1_RL1/TSGR1_98b/Docs/R1-1911574.zip" </w:instrText>
      </w:r>
      <w:r>
        <w:fldChar w:fldCharType="separate"/>
      </w:r>
      <w:r w:rsidRPr="00456178">
        <w:rPr>
          <w:rStyle w:val="Hyperlink"/>
        </w:rPr>
        <w:t>R1-1911574</w:t>
      </w:r>
      <w:r>
        <w:fldChar w:fldCharType="end"/>
      </w:r>
      <w:r w:rsidR="00F91893">
        <w:t xml:space="preserve">, </w:t>
      </w:r>
      <w:r w:rsidRPr="00456178">
        <w:t>Summary of RRC parameters for L1 configuration for Rel-16 LTE-MTC</w:t>
      </w:r>
      <w:r>
        <w:t>, Chongqing, China, October 2019</w:t>
      </w:r>
      <w:bookmarkEnd w:id="35"/>
    </w:p>
    <w:sectPr w:rsidR="00F9189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478C5" w14:textId="77777777" w:rsidR="00075CC4" w:rsidRDefault="00075CC4">
      <w:r>
        <w:separator/>
      </w:r>
    </w:p>
  </w:endnote>
  <w:endnote w:type="continuationSeparator" w:id="0">
    <w:p w14:paraId="3B6267F1" w14:textId="77777777" w:rsidR="00075CC4" w:rsidRDefault="00075CC4">
      <w:r>
        <w:continuationSeparator/>
      </w:r>
    </w:p>
  </w:endnote>
  <w:endnote w:type="continuationNotice" w:id="1">
    <w:p w14:paraId="5FAC8A32" w14:textId="77777777" w:rsidR="00075CC4" w:rsidRDefault="00075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16B81" w14:textId="77777777" w:rsidR="00075CC4" w:rsidRDefault="00075C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6D2AC" w14:textId="77777777" w:rsidR="00075CC4" w:rsidRDefault="00075CC4">
      <w:r>
        <w:separator/>
      </w:r>
    </w:p>
  </w:footnote>
  <w:footnote w:type="continuationSeparator" w:id="0">
    <w:p w14:paraId="7B39555A" w14:textId="77777777" w:rsidR="00075CC4" w:rsidRDefault="00075CC4">
      <w:r>
        <w:continuationSeparator/>
      </w:r>
    </w:p>
  </w:footnote>
  <w:footnote w:type="continuationNotice" w:id="1">
    <w:p w14:paraId="61BE8981" w14:textId="77777777" w:rsidR="00075CC4" w:rsidRDefault="00075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3E19" w14:textId="77777777" w:rsidR="00075CC4" w:rsidRDefault="00075C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800"/>
        </w:tabs>
        <w:ind w:left="800"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E3CDA"/>
    <w:multiLevelType w:val="hybridMultilevel"/>
    <w:tmpl w:val="018464E6"/>
    <w:lvl w:ilvl="0" w:tplc="36060F4E">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987B2E"/>
    <w:multiLevelType w:val="hybridMultilevel"/>
    <w:tmpl w:val="48BCA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A440A"/>
    <w:multiLevelType w:val="hybridMultilevel"/>
    <w:tmpl w:val="FF621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586DB8"/>
    <w:multiLevelType w:val="hybridMultilevel"/>
    <w:tmpl w:val="D3B2D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B3156A"/>
    <w:multiLevelType w:val="hybridMultilevel"/>
    <w:tmpl w:val="7C52D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7"/>
  </w:num>
  <w:num w:numId="18">
    <w:abstractNumId w:val="9"/>
  </w:num>
  <w:num w:numId="19">
    <w:abstractNumId w:val="5"/>
  </w:num>
  <w:num w:numId="20">
    <w:abstractNumId w:val="27"/>
  </w:num>
  <w:num w:numId="21">
    <w:abstractNumId w:val="13"/>
  </w:num>
  <w:num w:numId="22">
    <w:abstractNumId w:val="25"/>
  </w:num>
  <w:num w:numId="23">
    <w:abstractNumId w:val="4"/>
  </w:num>
  <w:num w:numId="24">
    <w:abstractNumId w:val="6"/>
  </w:num>
  <w:num w:numId="25">
    <w:abstractNumId w:val="26"/>
  </w:num>
  <w:num w:numId="26">
    <w:abstractNumId w:val="8"/>
  </w:num>
  <w:num w:numId="27">
    <w:abstractNumId w:val="19"/>
  </w:num>
  <w:num w:numId="28">
    <w:abstractNumId w:val="16"/>
  </w:num>
  <w:num w:numId="29">
    <w:abstractNumId w:val="28"/>
  </w:num>
  <w:num w:numId="30">
    <w:abstractNumId w:val="26"/>
  </w:num>
  <w:num w:numId="31">
    <w:abstractNumId w:val="26"/>
  </w:num>
  <w:num w:numId="32">
    <w:abstractNumId w:val="26"/>
  </w:num>
  <w:num w:numId="33">
    <w:abstractNumId w:val="26"/>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3CD"/>
    <w:rsid w:val="000006E1"/>
    <w:rsid w:val="00002A37"/>
    <w:rsid w:val="0000564C"/>
    <w:rsid w:val="00006446"/>
    <w:rsid w:val="00006896"/>
    <w:rsid w:val="00007CDC"/>
    <w:rsid w:val="00011B28"/>
    <w:rsid w:val="00015D15"/>
    <w:rsid w:val="00023E38"/>
    <w:rsid w:val="0002564D"/>
    <w:rsid w:val="00025ECA"/>
    <w:rsid w:val="000325B8"/>
    <w:rsid w:val="00034C15"/>
    <w:rsid w:val="00036BA1"/>
    <w:rsid w:val="000410BF"/>
    <w:rsid w:val="000422E2"/>
    <w:rsid w:val="00042F22"/>
    <w:rsid w:val="000444EF"/>
    <w:rsid w:val="0004532D"/>
    <w:rsid w:val="00051998"/>
    <w:rsid w:val="00052A07"/>
    <w:rsid w:val="00052FE1"/>
    <w:rsid w:val="000534E3"/>
    <w:rsid w:val="0005606A"/>
    <w:rsid w:val="00057117"/>
    <w:rsid w:val="00057FE5"/>
    <w:rsid w:val="000616E7"/>
    <w:rsid w:val="0006487E"/>
    <w:rsid w:val="00065E1A"/>
    <w:rsid w:val="00075CC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F53"/>
    <w:rsid w:val="000B2719"/>
    <w:rsid w:val="000B3A8F"/>
    <w:rsid w:val="000B4AB9"/>
    <w:rsid w:val="000B55B5"/>
    <w:rsid w:val="000B58C3"/>
    <w:rsid w:val="000B61E9"/>
    <w:rsid w:val="000C165A"/>
    <w:rsid w:val="000C2622"/>
    <w:rsid w:val="000C2E19"/>
    <w:rsid w:val="000D08DE"/>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5BD3"/>
    <w:rsid w:val="00137AB5"/>
    <w:rsid w:val="00137F0B"/>
    <w:rsid w:val="001475D6"/>
    <w:rsid w:val="001509FE"/>
    <w:rsid w:val="00151654"/>
    <w:rsid w:val="00151E23"/>
    <w:rsid w:val="001526E0"/>
    <w:rsid w:val="001551B5"/>
    <w:rsid w:val="00164F4E"/>
    <w:rsid w:val="001659C1"/>
    <w:rsid w:val="001665BC"/>
    <w:rsid w:val="00167B1C"/>
    <w:rsid w:val="00173A8E"/>
    <w:rsid w:val="0017502C"/>
    <w:rsid w:val="0017640F"/>
    <w:rsid w:val="001803CD"/>
    <w:rsid w:val="0018143F"/>
    <w:rsid w:val="00181FF8"/>
    <w:rsid w:val="0018360B"/>
    <w:rsid w:val="00190AC1"/>
    <w:rsid w:val="0019341A"/>
    <w:rsid w:val="0019646D"/>
    <w:rsid w:val="00197DF9"/>
    <w:rsid w:val="001A1987"/>
    <w:rsid w:val="001A2564"/>
    <w:rsid w:val="001A6173"/>
    <w:rsid w:val="001A6A7F"/>
    <w:rsid w:val="001A6CBA"/>
    <w:rsid w:val="001B0D97"/>
    <w:rsid w:val="001B5A5D"/>
    <w:rsid w:val="001C1CE5"/>
    <w:rsid w:val="001C3D2A"/>
    <w:rsid w:val="001D51BA"/>
    <w:rsid w:val="001D53E7"/>
    <w:rsid w:val="001D6342"/>
    <w:rsid w:val="001D6D53"/>
    <w:rsid w:val="001D755B"/>
    <w:rsid w:val="001E58E2"/>
    <w:rsid w:val="001E7AED"/>
    <w:rsid w:val="001F3916"/>
    <w:rsid w:val="001F54C5"/>
    <w:rsid w:val="001F662C"/>
    <w:rsid w:val="001F7074"/>
    <w:rsid w:val="00200490"/>
    <w:rsid w:val="00201F3A"/>
    <w:rsid w:val="00203F96"/>
    <w:rsid w:val="002069B2"/>
    <w:rsid w:val="00207FA3"/>
    <w:rsid w:val="00210129"/>
    <w:rsid w:val="00214DA8"/>
    <w:rsid w:val="00215423"/>
    <w:rsid w:val="002158FA"/>
    <w:rsid w:val="0021785C"/>
    <w:rsid w:val="00220600"/>
    <w:rsid w:val="002207B8"/>
    <w:rsid w:val="002224DB"/>
    <w:rsid w:val="00223FCB"/>
    <w:rsid w:val="002252C3"/>
    <w:rsid w:val="00225C54"/>
    <w:rsid w:val="00230765"/>
    <w:rsid w:val="00230D18"/>
    <w:rsid w:val="002319E4"/>
    <w:rsid w:val="00235632"/>
    <w:rsid w:val="00235872"/>
    <w:rsid w:val="00237892"/>
    <w:rsid w:val="00241559"/>
    <w:rsid w:val="002420CC"/>
    <w:rsid w:val="002435B3"/>
    <w:rsid w:val="002458EB"/>
    <w:rsid w:val="002500C8"/>
    <w:rsid w:val="00252D06"/>
    <w:rsid w:val="0025567A"/>
    <w:rsid w:val="00257543"/>
    <w:rsid w:val="002617E7"/>
    <w:rsid w:val="00264228"/>
    <w:rsid w:val="00264334"/>
    <w:rsid w:val="0026473E"/>
    <w:rsid w:val="0026476C"/>
    <w:rsid w:val="00266214"/>
    <w:rsid w:val="00267C83"/>
    <w:rsid w:val="0027144F"/>
    <w:rsid w:val="00271813"/>
    <w:rsid w:val="00271F3A"/>
    <w:rsid w:val="00273278"/>
    <w:rsid w:val="002737F3"/>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06F"/>
    <w:rsid w:val="002B24D6"/>
    <w:rsid w:val="002B3A29"/>
    <w:rsid w:val="002C06AD"/>
    <w:rsid w:val="002C41E6"/>
    <w:rsid w:val="002C5487"/>
    <w:rsid w:val="002D071A"/>
    <w:rsid w:val="002D34B2"/>
    <w:rsid w:val="002D48B0"/>
    <w:rsid w:val="002D5B37"/>
    <w:rsid w:val="002D7637"/>
    <w:rsid w:val="002E02BF"/>
    <w:rsid w:val="002E17F2"/>
    <w:rsid w:val="002E2254"/>
    <w:rsid w:val="002E7CAE"/>
    <w:rsid w:val="002F2771"/>
    <w:rsid w:val="002F37A9"/>
    <w:rsid w:val="00301BB0"/>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20B"/>
    <w:rsid w:val="00342BD7"/>
    <w:rsid w:val="00346DB5"/>
    <w:rsid w:val="003477B1"/>
    <w:rsid w:val="00357380"/>
    <w:rsid w:val="003602D9"/>
    <w:rsid w:val="003604CE"/>
    <w:rsid w:val="00370E47"/>
    <w:rsid w:val="003742AC"/>
    <w:rsid w:val="00376901"/>
    <w:rsid w:val="00376F34"/>
    <w:rsid w:val="00377CE1"/>
    <w:rsid w:val="00385BF0"/>
    <w:rsid w:val="00387D75"/>
    <w:rsid w:val="003939FF"/>
    <w:rsid w:val="00395E97"/>
    <w:rsid w:val="003A1DB9"/>
    <w:rsid w:val="003A2223"/>
    <w:rsid w:val="003A2A0F"/>
    <w:rsid w:val="003A45A1"/>
    <w:rsid w:val="003A5B0A"/>
    <w:rsid w:val="003A6A43"/>
    <w:rsid w:val="003A6BAC"/>
    <w:rsid w:val="003A70A4"/>
    <w:rsid w:val="003A7EF3"/>
    <w:rsid w:val="003B021B"/>
    <w:rsid w:val="003B159C"/>
    <w:rsid w:val="003B369F"/>
    <w:rsid w:val="003B36A3"/>
    <w:rsid w:val="003B64BB"/>
    <w:rsid w:val="003B7FE5"/>
    <w:rsid w:val="003C11C8"/>
    <w:rsid w:val="003C2702"/>
    <w:rsid w:val="003C7806"/>
    <w:rsid w:val="003D109F"/>
    <w:rsid w:val="003D2448"/>
    <w:rsid w:val="003D2478"/>
    <w:rsid w:val="003D299B"/>
    <w:rsid w:val="003D3C45"/>
    <w:rsid w:val="003D5865"/>
    <w:rsid w:val="003D5B1F"/>
    <w:rsid w:val="003E15FA"/>
    <w:rsid w:val="003E55E4"/>
    <w:rsid w:val="003E74E3"/>
    <w:rsid w:val="003F05C7"/>
    <w:rsid w:val="003F2CD4"/>
    <w:rsid w:val="003F3C01"/>
    <w:rsid w:val="003F6BBE"/>
    <w:rsid w:val="004000E8"/>
    <w:rsid w:val="00400771"/>
    <w:rsid w:val="00402E2B"/>
    <w:rsid w:val="00404C81"/>
    <w:rsid w:val="0040512B"/>
    <w:rsid w:val="00405CA5"/>
    <w:rsid w:val="00407674"/>
    <w:rsid w:val="00407CD3"/>
    <w:rsid w:val="00410134"/>
    <w:rsid w:val="00410B72"/>
    <w:rsid w:val="00410F18"/>
    <w:rsid w:val="0041263E"/>
    <w:rsid w:val="00413187"/>
    <w:rsid w:val="00413AAC"/>
    <w:rsid w:val="00413E92"/>
    <w:rsid w:val="00421105"/>
    <w:rsid w:val="00422AA4"/>
    <w:rsid w:val="004242F4"/>
    <w:rsid w:val="00427248"/>
    <w:rsid w:val="00431E5B"/>
    <w:rsid w:val="00437447"/>
    <w:rsid w:val="00441A92"/>
    <w:rsid w:val="00441D2F"/>
    <w:rsid w:val="004431DC"/>
    <w:rsid w:val="00444F56"/>
    <w:rsid w:val="00446488"/>
    <w:rsid w:val="004517AA"/>
    <w:rsid w:val="00452CAC"/>
    <w:rsid w:val="00456178"/>
    <w:rsid w:val="00457565"/>
    <w:rsid w:val="00457B71"/>
    <w:rsid w:val="004669E2"/>
    <w:rsid w:val="0047026D"/>
    <w:rsid w:val="00470C31"/>
    <w:rsid w:val="00471DE0"/>
    <w:rsid w:val="004734D0"/>
    <w:rsid w:val="0047556B"/>
    <w:rsid w:val="00477768"/>
    <w:rsid w:val="00484947"/>
    <w:rsid w:val="00492BC5"/>
    <w:rsid w:val="00493E15"/>
    <w:rsid w:val="004964F1"/>
    <w:rsid w:val="00497DA7"/>
    <w:rsid w:val="004A16BC"/>
    <w:rsid w:val="004A2B94"/>
    <w:rsid w:val="004A339E"/>
    <w:rsid w:val="004A553B"/>
    <w:rsid w:val="004A5F40"/>
    <w:rsid w:val="004A7410"/>
    <w:rsid w:val="004B5E4D"/>
    <w:rsid w:val="004B6F6A"/>
    <w:rsid w:val="004B7C0C"/>
    <w:rsid w:val="004B7C53"/>
    <w:rsid w:val="004C3898"/>
    <w:rsid w:val="004C6E31"/>
    <w:rsid w:val="004D36B1"/>
    <w:rsid w:val="004D7E59"/>
    <w:rsid w:val="004D7EBD"/>
    <w:rsid w:val="004E0D99"/>
    <w:rsid w:val="004E2680"/>
    <w:rsid w:val="004E28F9"/>
    <w:rsid w:val="004E462E"/>
    <w:rsid w:val="004E56DC"/>
    <w:rsid w:val="004E76F4"/>
    <w:rsid w:val="004F0133"/>
    <w:rsid w:val="004F0B4E"/>
    <w:rsid w:val="004F0B6C"/>
    <w:rsid w:val="004F2078"/>
    <w:rsid w:val="004F4DA3"/>
    <w:rsid w:val="00500D59"/>
    <w:rsid w:val="00506557"/>
    <w:rsid w:val="0050677A"/>
    <w:rsid w:val="00507926"/>
    <w:rsid w:val="005108D8"/>
    <w:rsid w:val="005112FE"/>
    <w:rsid w:val="005116F9"/>
    <w:rsid w:val="005153A7"/>
    <w:rsid w:val="005219CF"/>
    <w:rsid w:val="005227E4"/>
    <w:rsid w:val="00524032"/>
    <w:rsid w:val="00527730"/>
    <w:rsid w:val="00534B59"/>
    <w:rsid w:val="00536759"/>
    <w:rsid w:val="00536BE5"/>
    <w:rsid w:val="00537C62"/>
    <w:rsid w:val="00546970"/>
    <w:rsid w:val="00554E19"/>
    <w:rsid w:val="0055644F"/>
    <w:rsid w:val="0056121F"/>
    <w:rsid w:val="00572505"/>
    <w:rsid w:val="00582809"/>
    <w:rsid w:val="0058798C"/>
    <w:rsid w:val="005900FA"/>
    <w:rsid w:val="005935A4"/>
    <w:rsid w:val="005948C2"/>
    <w:rsid w:val="00595DCA"/>
    <w:rsid w:val="0059779B"/>
    <w:rsid w:val="005A209A"/>
    <w:rsid w:val="005A22B5"/>
    <w:rsid w:val="005A662D"/>
    <w:rsid w:val="005B1409"/>
    <w:rsid w:val="005B1A01"/>
    <w:rsid w:val="005B35D7"/>
    <w:rsid w:val="005B392A"/>
    <w:rsid w:val="005B3AA3"/>
    <w:rsid w:val="005B6F83"/>
    <w:rsid w:val="005C61AB"/>
    <w:rsid w:val="005C74FB"/>
    <w:rsid w:val="005D1602"/>
    <w:rsid w:val="005E385F"/>
    <w:rsid w:val="005E52C0"/>
    <w:rsid w:val="005E5B81"/>
    <w:rsid w:val="005F2CB1"/>
    <w:rsid w:val="005F3025"/>
    <w:rsid w:val="005F618C"/>
    <w:rsid w:val="005F70BD"/>
    <w:rsid w:val="0060283C"/>
    <w:rsid w:val="00604F14"/>
    <w:rsid w:val="0060741A"/>
    <w:rsid w:val="006112E5"/>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D43"/>
    <w:rsid w:val="00655733"/>
    <w:rsid w:val="00655ACD"/>
    <w:rsid w:val="00656A92"/>
    <w:rsid w:val="00656DDE"/>
    <w:rsid w:val="0066011D"/>
    <w:rsid w:val="006607C0"/>
    <w:rsid w:val="006613A6"/>
    <w:rsid w:val="0066262B"/>
    <w:rsid w:val="006627A2"/>
    <w:rsid w:val="006634E6"/>
    <w:rsid w:val="006655EE"/>
    <w:rsid w:val="00667EE7"/>
    <w:rsid w:val="006701B3"/>
    <w:rsid w:val="00670922"/>
    <w:rsid w:val="00670BE1"/>
    <w:rsid w:val="0067218F"/>
    <w:rsid w:val="006741F2"/>
    <w:rsid w:val="00674CC3"/>
    <w:rsid w:val="00675C72"/>
    <w:rsid w:val="006771F9"/>
    <w:rsid w:val="006776D7"/>
    <w:rsid w:val="00681003"/>
    <w:rsid w:val="006817C9"/>
    <w:rsid w:val="00683ECE"/>
    <w:rsid w:val="0068449B"/>
    <w:rsid w:val="006861C2"/>
    <w:rsid w:val="006957D9"/>
    <w:rsid w:val="00695FC2"/>
    <w:rsid w:val="00696949"/>
    <w:rsid w:val="00697052"/>
    <w:rsid w:val="006A28BF"/>
    <w:rsid w:val="006A42FE"/>
    <w:rsid w:val="006A46FB"/>
    <w:rsid w:val="006A5E28"/>
    <w:rsid w:val="006A697B"/>
    <w:rsid w:val="006A7AFF"/>
    <w:rsid w:val="006B1816"/>
    <w:rsid w:val="006B2099"/>
    <w:rsid w:val="006B50CF"/>
    <w:rsid w:val="006C00FE"/>
    <w:rsid w:val="006C03B8"/>
    <w:rsid w:val="006C5EC9"/>
    <w:rsid w:val="006C6059"/>
    <w:rsid w:val="006C7522"/>
    <w:rsid w:val="006D125E"/>
    <w:rsid w:val="006D6F08"/>
    <w:rsid w:val="006E062C"/>
    <w:rsid w:val="006E1C82"/>
    <w:rsid w:val="006E28B7"/>
    <w:rsid w:val="006E2A9B"/>
    <w:rsid w:val="006E3310"/>
    <w:rsid w:val="006E4E39"/>
    <w:rsid w:val="006E565E"/>
    <w:rsid w:val="006E673D"/>
    <w:rsid w:val="006E7D3B"/>
    <w:rsid w:val="006F1B70"/>
    <w:rsid w:val="006F2E2A"/>
    <w:rsid w:val="006F341D"/>
    <w:rsid w:val="006F3CDE"/>
    <w:rsid w:val="006F58D4"/>
    <w:rsid w:val="006F6582"/>
    <w:rsid w:val="0070346E"/>
    <w:rsid w:val="00704EDB"/>
    <w:rsid w:val="00706101"/>
    <w:rsid w:val="00707072"/>
    <w:rsid w:val="00707D61"/>
    <w:rsid w:val="00712287"/>
    <w:rsid w:val="00712772"/>
    <w:rsid w:val="007148D3"/>
    <w:rsid w:val="00715B9A"/>
    <w:rsid w:val="00715C38"/>
    <w:rsid w:val="007257D0"/>
    <w:rsid w:val="00726EA6"/>
    <w:rsid w:val="00727208"/>
    <w:rsid w:val="00727680"/>
    <w:rsid w:val="007348B1"/>
    <w:rsid w:val="00734DA9"/>
    <w:rsid w:val="007362A6"/>
    <w:rsid w:val="00736D7D"/>
    <w:rsid w:val="00737037"/>
    <w:rsid w:val="00740E58"/>
    <w:rsid w:val="007445A0"/>
    <w:rsid w:val="0074524B"/>
    <w:rsid w:val="00747D8B"/>
    <w:rsid w:val="00751228"/>
    <w:rsid w:val="007571E1"/>
    <w:rsid w:val="00757A16"/>
    <w:rsid w:val="007604B2"/>
    <w:rsid w:val="007620A8"/>
    <w:rsid w:val="00765281"/>
    <w:rsid w:val="00766BAD"/>
    <w:rsid w:val="00771903"/>
    <w:rsid w:val="007729A2"/>
    <w:rsid w:val="007755F2"/>
    <w:rsid w:val="00776971"/>
    <w:rsid w:val="007772B7"/>
    <w:rsid w:val="00780A80"/>
    <w:rsid w:val="00780DE5"/>
    <w:rsid w:val="0078177E"/>
    <w:rsid w:val="0078304C"/>
    <w:rsid w:val="00783673"/>
    <w:rsid w:val="00785490"/>
    <w:rsid w:val="00785934"/>
    <w:rsid w:val="0079052B"/>
    <w:rsid w:val="007925EA"/>
    <w:rsid w:val="00793CD8"/>
    <w:rsid w:val="00795C92"/>
    <w:rsid w:val="00796231"/>
    <w:rsid w:val="007A1CB3"/>
    <w:rsid w:val="007A306F"/>
    <w:rsid w:val="007A43A6"/>
    <w:rsid w:val="007A4A94"/>
    <w:rsid w:val="007A58A6"/>
    <w:rsid w:val="007B18EA"/>
    <w:rsid w:val="007B3D2D"/>
    <w:rsid w:val="007B50AE"/>
    <w:rsid w:val="007B51DF"/>
    <w:rsid w:val="007B6F8C"/>
    <w:rsid w:val="007C05DD"/>
    <w:rsid w:val="007C3D18"/>
    <w:rsid w:val="007C60BF"/>
    <w:rsid w:val="007C6A07"/>
    <w:rsid w:val="007C75A1"/>
    <w:rsid w:val="007C77A5"/>
    <w:rsid w:val="007D04E5"/>
    <w:rsid w:val="007D5901"/>
    <w:rsid w:val="007D6C48"/>
    <w:rsid w:val="007D7526"/>
    <w:rsid w:val="007E4610"/>
    <w:rsid w:val="007E4715"/>
    <w:rsid w:val="007E505B"/>
    <w:rsid w:val="007E7091"/>
    <w:rsid w:val="007E72FB"/>
    <w:rsid w:val="00803FAE"/>
    <w:rsid w:val="0080605F"/>
    <w:rsid w:val="00806362"/>
    <w:rsid w:val="008066F5"/>
    <w:rsid w:val="00807786"/>
    <w:rsid w:val="00811FCB"/>
    <w:rsid w:val="00812499"/>
    <w:rsid w:val="008158D6"/>
    <w:rsid w:val="00817196"/>
    <w:rsid w:val="00820C96"/>
    <w:rsid w:val="008235DB"/>
    <w:rsid w:val="00824AB4"/>
    <w:rsid w:val="00825C42"/>
    <w:rsid w:val="00825D25"/>
    <w:rsid w:val="008272B7"/>
    <w:rsid w:val="00827D6F"/>
    <w:rsid w:val="008376AC"/>
    <w:rsid w:val="008408EB"/>
    <w:rsid w:val="008444E8"/>
    <w:rsid w:val="00844E80"/>
    <w:rsid w:val="00846FE7"/>
    <w:rsid w:val="00847703"/>
    <w:rsid w:val="008522A4"/>
    <w:rsid w:val="00856911"/>
    <w:rsid w:val="0086224E"/>
    <w:rsid w:val="00862973"/>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8D"/>
    <w:rsid w:val="008A30AC"/>
    <w:rsid w:val="008A44B8"/>
    <w:rsid w:val="008A51A8"/>
    <w:rsid w:val="008A54C7"/>
    <w:rsid w:val="008A77D8"/>
    <w:rsid w:val="008B0483"/>
    <w:rsid w:val="008B120C"/>
    <w:rsid w:val="008B2D22"/>
    <w:rsid w:val="008B51A0"/>
    <w:rsid w:val="008B592A"/>
    <w:rsid w:val="008B7B5C"/>
    <w:rsid w:val="008C0C99"/>
    <w:rsid w:val="008C177A"/>
    <w:rsid w:val="008C2017"/>
    <w:rsid w:val="008C4958"/>
    <w:rsid w:val="008C4BAA"/>
    <w:rsid w:val="008C6AE8"/>
    <w:rsid w:val="008C72BA"/>
    <w:rsid w:val="008C73FA"/>
    <w:rsid w:val="008C7573"/>
    <w:rsid w:val="008D00A5"/>
    <w:rsid w:val="008D34F1"/>
    <w:rsid w:val="008D39D8"/>
    <w:rsid w:val="008D6903"/>
    <w:rsid w:val="008D6D1A"/>
    <w:rsid w:val="008E065E"/>
    <w:rsid w:val="008E0927"/>
    <w:rsid w:val="008E146B"/>
    <w:rsid w:val="008E1909"/>
    <w:rsid w:val="008E2EF6"/>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DBA"/>
    <w:rsid w:val="00936875"/>
    <w:rsid w:val="009368F3"/>
    <w:rsid w:val="00941636"/>
    <w:rsid w:val="009431F6"/>
    <w:rsid w:val="00943742"/>
    <w:rsid w:val="00945C05"/>
    <w:rsid w:val="00946945"/>
    <w:rsid w:val="0094717E"/>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0FD"/>
    <w:rsid w:val="009B1F30"/>
    <w:rsid w:val="009B3AC2"/>
    <w:rsid w:val="009B4DF4"/>
    <w:rsid w:val="009B564E"/>
    <w:rsid w:val="009B61FA"/>
    <w:rsid w:val="009B7E87"/>
    <w:rsid w:val="009C0169"/>
    <w:rsid w:val="009C0CC8"/>
    <w:rsid w:val="009C403E"/>
    <w:rsid w:val="009D4FF0"/>
    <w:rsid w:val="009D703C"/>
    <w:rsid w:val="009D718F"/>
    <w:rsid w:val="009E068F"/>
    <w:rsid w:val="009E14E0"/>
    <w:rsid w:val="009E35DB"/>
    <w:rsid w:val="009E38CF"/>
    <w:rsid w:val="009E47A3"/>
    <w:rsid w:val="009F08F3"/>
    <w:rsid w:val="009F344F"/>
    <w:rsid w:val="009F4939"/>
    <w:rsid w:val="00A031D8"/>
    <w:rsid w:val="00A048A8"/>
    <w:rsid w:val="00A04F49"/>
    <w:rsid w:val="00A13E54"/>
    <w:rsid w:val="00A17F63"/>
    <w:rsid w:val="00A2193B"/>
    <w:rsid w:val="00A2351A"/>
    <w:rsid w:val="00A264A9"/>
    <w:rsid w:val="00A26DCF"/>
    <w:rsid w:val="00A27785"/>
    <w:rsid w:val="00A30187"/>
    <w:rsid w:val="00A3448A"/>
    <w:rsid w:val="00A36297"/>
    <w:rsid w:val="00A36808"/>
    <w:rsid w:val="00A41E2B"/>
    <w:rsid w:val="00A42478"/>
    <w:rsid w:val="00A45B74"/>
    <w:rsid w:val="00A52E1D"/>
    <w:rsid w:val="00A56E79"/>
    <w:rsid w:val="00A61499"/>
    <w:rsid w:val="00A61C92"/>
    <w:rsid w:val="00A62A77"/>
    <w:rsid w:val="00A63483"/>
    <w:rsid w:val="00A657D7"/>
    <w:rsid w:val="00A65BED"/>
    <w:rsid w:val="00A660AC"/>
    <w:rsid w:val="00A67E6C"/>
    <w:rsid w:val="00A71B99"/>
    <w:rsid w:val="00A739D0"/>
    <w:rsid w:val="00A761D4"/>
    <w:rsid w:val="00A77EC4"/>
    <w:rsid w:val="00A80265"/>
    <w:rsid w:val="00A906E0"/>
    <w:rsid w:val="00A92879"/>
    <w:rsid w:val="00A9442A"/>
    <w:rsid w:val="00AA016F"/>
    <w:rsid w:val="00AA1ED6"/>
    <w:rsid w:val="00AA51D6"/>
    <w:rsid w:val="00AB0BC8"/>
    <w:rsid w:val="00AB11CA"/>
    <w:rsid w:val="00AB14D9"/>
    <w:rsid w:val="00AB3E5D"/>
    <w:rsid w:val="00AB4AB8"/>
    <w:rsid w:val="00AB655E"/>
    <w:rsid w:val="00AC007F"/>
    <w:rsid w:val="00AC2ECD"/>
    <w:rsid w:val="00AC3119"/>
    <w:rsid w:val="00AC49FB"/>
    <w:rsid w:val="00AC5A10"/>
    <w:rsid w:val="00AC66AB"/>
    <w:rsid w:val="00AC6C54"/>
    <w:rsid w:val="00AC73A9"/>
    <w:rsid w:val="00AD0AA3"/>
    <w:rsid w:val="00AD2FD1"/>
    <w:rsid w:val="00AD3F94"/>
    <w:rsid w:val="00AD4A5A"/>
    <w:rsid w:val="00AE17FB"/>
    <w:rsid w:val="00AE27AC"/>
    <w:rsid w:val="00AE40E0"/>
    <w:rsid w:val="00AE4DBA"/>
    <w:rsid w:val="00AE4F07"/>
    <w:rsid w:val="00AF1C5D"/>
    <w:rsid w:val="00AF1E02"/>
    <w:rsid w:val="00AF42D7"/>
    <w:rsid w:val="00B006FE"/>
    <w:rsid w:val="00B007CB"/>
    <w:rsid w:val="00B02AA9"/>
    <w:rsid w:val="00B02FA3"/>
    <w:rsid w:val="00B05084"/>
    <w:rsid w:val="00B12733"/>
    <w:rsid w:val="00B157F9"/>
    <w:rsid w:val="00B20256"/>
    <w:rsid w:val="00B20D09"/>
    <w:rsid w:val="00B2104F"/>
    <w:rsid w:val="00B2341D"/>
    <w:rsid w:val="00B2763F"/>
    <w:rsid w:val="00B27AAC"/>
    <w:rsid w:val="00B30929"/>
    <w:rsid w:val="00B372AA"/>
    <w:rsid w:val="00B40445"/>
    <w:rsid w:val="00B409E0"/>
    <w:rsid w:val="00B41888"/>
    <w:rsid w:val="00B45A52"/>
    <w:rsid w:val="00B46175"/>
    <w:rsid w:val="00B548B7"/>
    <w:rsid w:val="00B60EA2"/>
    <w:rsid w:val="00B664C7"/>
    <w:rsid w:val="00B71983"/>
    <w:rsid w:val="00B730A2"/>
    <w:rsid w:val="00B739F6"/>
    <w:rsid w:val="00B7465F"/>
    <w:rsid w:val="00B80059"/>
    <w:rsid w:val="00B81A6C"/>
    <w:rsid w:val="00B85DE5"/>
    <w:rsid w:val="00B90F73"/>
    <w:rsid w:val="00B93B59"/>
    <w:rsid w:val="00B9406A"/>
    <w:rsid w:val="00BA2280"/>
    <w:rsid w:val="00BA2A08"/>
    <w:rsid w:val="00BA56D2"/>
    <w:rsid w:val="00BA76E0"/>
    <w:rsid w:val="00BB2A25"/>
    <w:rsid w:val="00BB51E9"/>
    <w:rsid w:val="00BC06C2"/>
    <w:rsid w:val="00BC0FDC"/>
    <w:rsid w:val="00BC3053"/>
    <w:rsid w:val="00BC4D2E"/>
    <w:rsid w:val="00BC7C56"/>
    <w:rsid w:val="00BD48AC"/>
    <w:rsid w:val="00BD5F1A"/>
    <w:rsid w:val="00BE1234"/>
    <w:rsid w:val="00BE2FA6"/>
    <w:rsid w:val="00BE333F"/>
    <w:rsid w:val="00BE7406"/>
    <w:rsid w:val="00BE7603"/>
    <w:rsid w:val="00BF3279"/>
    <w:rsid w:val="00BF68B2"/>
    <w:rsid w:val="00BF74C7"/>
    <w:rsid w:val="00BF7C57"/>
    <w:rsid w:val="00C015F1"/>
    <w:rsid w:val="00C01F33"/>
    <w:rsid w:val="00C02CC6"/>
    <w:rsid w:val="00C040F7"/>
    <w:rsid w:val="00C044AB"/>
    <w:rsid w:val="00C05706"/>
    <w:rsid w:val="00C07377"/>
    <w:rsid w:val="00C10478"/>
    <w:rsid w:val="00C12107"/>
    <w:rsid w:val="00C12ADF"/>
    <w:rsid w:val="00C14D4B"/>
    <w:rsid w:val="00C154BB"/>
    <w:rsid w:val="00C204A1"/>
    <w:rsid w:val="00C279B5"/>
    <w:rsid w:val="00C27C45"/>
    <w:rsid w:val="00C3719D"/>
    <w:rsid w:val="00C37CB2"/>
    <w:rsid w:val="00C473A5"/>
    <w:rsid w:val="00C52443"/>
    <w:rsid w:val="00C54995"/>
    <w:rsid w:val="00C54D41"/>
    <w:rsid w:val="00C60783"/>
    <w:rsid w:val="00C64672"/>
    <w:rsid w:val="00C67524"/>
    <w:rsid w:val="00C70697"/>
    <w:rsid w:val="00C72093"/>
    <w:rsid w:val="00C72EF4"/>
    <w:rsid w:val="00C744FE"/>
    <w:rsid w:val="00C75D2F"/>
    <w:rsid w:val="00C767BE"/>
    <w:rsid w:val="00C76E3C"/>
    <w:rsid w:val="00C81568"/>
    <w:rsid w:val="00C8737E"/>
    <w:rsid w:val="00C9027A"/>
    <w:rsid w:val="00C9068E"/>
    <w:rsid w:val="00C92F6B"/>
    <w:rsid w:val="00C93814"/>
    <w:rsid w:val="00C93C4B"/>
    <w:rsid w:val="00C944AB"/>
    <w:rsid w:val="00C95B40"/>
    <w:rsid w:val="00CA1ED8"/>
    <w:rsid w:val="00CA6538"/>
    <w:rsid w:val="00CB1F63"/>
    <w:rsid w:val="00CB5E8B"/>
    <w:rsid w:val="00CB7170"/>
    <w:rsid w:val="00CC040E"/>
    <w:rsid w:val="00CC111F"/>
    <w:rsid w:val="00CC2011"/>
    <w:rsid w:val="00CC3EA0"/>
    <w:rsid w:val="00CC5DC3"/>
    <w:rsid w:val="00CC7B45"/>
    <w:rsid w:val="00CD1188"/>
    <w:rsid w:val="00CD1FC0"/>
    <w:rsid w:val="00CD2ED1"/>
    <w:rsid w:val="00CD337B"/>
    <w:rsid w:val="00CE0424"/>
    <w:rsid w:val="00CE3177"/>
    <w:rsid w:val="00CE7561"/>
    <w:rsid w:val="00CF1354"/>
    <w:rsid w:val="00CF3B1F"/>
    <w:rsid w:val="00CF3BF6"/>
    <w:rsid w:val="00CF4579"/>
    <w:rsid w:val="00CF625B"/>
    <w:rsid w:val="00CF687E"/>
    <w:rsid w:val="00D0349B"/>
    <w:rsid w:val="00D10249"/>
    <w:rsid w:val="00D115C3"/>
    <w:rsid w:val="00D11897"/>
    <w:rsid w:val="00D13135"/>
    <w:rsid w:val="00D13E4E"/>
    <w:rsid w:val="00D239A7"/>
    <w:rsid w:val="00D23F47"/>
    <w:rsid w:val="00D30389"/>
    <w:rsid w:val="00D326FE"/>
    <w:rsid w:val="00D342F5"/>
    <w:rsid w:val="00D3438D"/>
    <w:rsid w:val="00D36E71"/>
    <w:rsid w:val="00D37D87"/>
    <w:rsid w:val="00D40B33"/>
    <w:rsid w:val="00D4318F"/>
    <w:rsid w:val="00D438BF"/>
    <w:rsid w:val="00D440F8"/>
    <w:rsid w:val="00D4540B"/>
    <w:rsid w:val="00D50AB8"/>
    <w:rsid w:val="00D546FF"/>
    <w:rsid w:val="00D55AD5"/>
    <w:rsid w:val="00D576CA"/>
    <w:rsid w:val="00D57C12"/>
    <w:rsid w:val="00D61AF5"/>
    <w:rsid w:val="00D652B5"/>
    <w:rsid w:val="00D66155"/>
    <w:rsid w:val="00D701C9"/>
    <w:rsid w:val="00D708B0"/>
    <w:rsid w:val="00D77B1D"/>
    <w:rsid w:val="00D8021F"/>
    <w:rsid w:val="00D80383"/>
    <w:rsid w:val="00D823C6"/>
    <w:rsid w:val="00D8327F"/>
    <w:rsid w:val="00D86CA3"/>
    <w:rsid w:val="00D871CE"/>
    <w:rsid w:val="00D9196D"/>
    <w:rsid w:val="00D9213E"/>
    <w:rsid w:val="00D92982"/>
    <w:rsid w:val="00D959E1"/>
    <w:rsid w:val="00DA075C"/>
    <w:rsid w:val="00DA305E"/>
    <w:rsid w:val="00DA5417"/>
    <w:rsid w:val="00DA56E8"/>
    <w:rsid w:val="00DB0A9F"/>
    <w:rsid w:val="00DB377D"/>
    <w:rsid w:val="00DC2D36"/>
    <w:rsid w:val="00DC53EF"/>
    <w:rsid w:val="00DE5608"/>
    <w:rsid w:val="00DE58D0"/>
    <w:rsid w:val="00DE654F"/>
    <w:rsid w:val="00DE66F0"/>
    <w:rsid w:val="00DF0B6E"/>
    <w:rsid w:val="00DF15E0"/>
    <w:rsid w:val="00DF37A0"/>
    <w:rsid w:val="00DF3BAE"/>
    <w:rsid w:val="00E01552"/>
    <w:rsid w:val="00E07719"/>
    <w:rsid w:val="00E110E7"/>
    <w:rsid w:val="00E11B20"/>
    <w:rsid w:val="00E124BD"/>
    <w:rsid w:val="00E17FA2"/>
    <w:rsid w:val="00E22330"/>
    <w:rsid w:val="00E2568A"/>
    <w:rsid w:val="00E30B5A"/>
    <w:rsid w:val="00E3123D"/>
    <w:rsid w:val="00E31461"/>
    <w:rsid w:val="00E31D2E"/>
    <w:rsid w:val="00E31D43"/>
    <w:rsid w:val="00E31F7C"/>
    <w:rsid w:val="00E3228D"/>
    <w:rsid w:val="00E32608"/>
    <w:rsid w:val="00E34188"/>
    <w:rsid w:val="00E34B6E"/>
    <w:rsid w:val="00E35559"/>
    <w:rsid w:val="00E3723A"/>
    <w:rsid w:val="00E37860"/>
    <w:rsid w:val="00E4284E"/>
    <w:rsid w:val="00E446F1"/>
    <w:rsid w:val="00E46886"/>
    <w:rsid w:val="00E4742A"/>
    <w:rsid w:val="00E47AEF"/>
    <w:rsid w:val="00E5324A"/>
    <w:rsid w:val="00E53B75"/>
    <w:rsid w:val="00E54E3B"/>
    <w:rsid w:val="00E5620C"/>
    <w:rsid w:val="00E57565"/>
    <w:rsid w:val="00E61DEB"/>
    <w:rsid w:val="00E63838"/>
    <w:rsid w:val="00E641F7"/>
    <w:rsid w:val="00E64434"/>
    <w:rsid w:val="00E67C51"/>
    <w:rsid w:val="00E700FC"/>
    <w:rsid w:val="00E70BBD"/>
    <w:rsid w:val="00E72EFC"/>
    <w:rsid w:val="00E758EC"/>
    <w:rsid w:val="00E81E69"/>
    <w:rsid w:val="00E8234C"/>
    <w:rsid w:val="00E83AA9"/>
    <w:rsid w:val="00E85928"/>
    <w:rsid w:val="00E87822"/>
    <w:rsid w:val="00E90395"/>
    <w:rsid w:val="00E90E49"/>
    <w:rsid w:val="00E917F9"/>
    <w:rsid w:val="00E924AD"/>
    <w:rsid w:val="00E9291C"/>
    <w:rsid w:val="00E93FFE"/>
    <w:rsid w:val="00E94F8A"/>
    <w:rsid w:val="00EA0A8F"/>
    <w:rsid w:val="00EA19CE"/>
    <w:rsid w:val="00EA7626"/>
    <w:rsid w:val="00EA7A41"/>
    <w:rsid w:val="00EB077B"/>
    <w:rsid w:val="00EB3592"/>
    <w:rsid w:val="00EB3772"/>
    <w:rsid w:val="00EB4EA2"/>
    <w:rsid w:val="00EB5985"/>
    <w:rsid w:val="00EB71D7"/>
    <w:rsid w:val="00EC0061"/>
    <w:rsid w:val="00EC24D5"/>
    <w:rsid w:val="00EC27C6"/>
    <w:rsid w:val="00EC4207"/>
    <w:rsid w:val="00EC4447"/>
    <w:rsid w:val="00EC5653"/>
    <w:rsid w:val="00EC71CE"/>
    <w:rsid w:val="00ED1006"/>
    <w:rsid w:val="00ED59AE"/>
    <w:rsid w:val="00ED5EA6"/>
    <w:rsid w:val="00EE5029"/>
    <w:rsid w:val="00EE58B7"/>
    <w:rsid w:val="00EF18FE"/>
    <w:rsid w:val="00EF3BCB"/>
    <w:rsid w:val="00EF5787"/>
    <w:rsid w:val="00EF60D0"/>
    <w:rsid w:val="00EF7382"/>
    <w:rsid w:val="00F0528D"/>
    <w:rsid w:val="00F06C67"/>
    <w:rsid w:val="00F06DFD"/>
    <w:rsid w:val="00F071D1"/>
    <w:rsid w:val="00F07533"/>
    <w:rsid w:val="00F10629"/>
    <w:rsid w:val="00F14069"/>
    <w:rsid w:val="00F1417B"/>
    <w:rsid w:val="00F15FA5"/>
    <w:rsid w:val="00F209B7"/>
    <w:rsid w:val="00F2376F"/>
    <w:rsid w:val="00F243D8"/>
    <w:rsid w:val="00F30828"/>
    <w:rsid w:val="00F313D6"/>
    <w:rsid w:val="00F35254"/>
    <w:rsid w:val="00F366DA"/>
    <w:rsid w:val="00F40C2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3E5"/>
    <w:rsid w:val="00F8456C"/>
    <w:rsid w:val="00F859D8"/>
    <w:rsid w:val="00F868F5"/>
    <w:rsid w:val="00F9056A"/>
    <w:rsid w:val="00F90F8D"/>
    <w:rsid w:val="00F91893"/>
    <w:rsid w:val="00F92782"/>
    <w:rsid w:val="00F93AA9"/>
    <w:rsid w:val="00F96985"/>
    <w:rsid w:val="00F97838"/>
    <w:rsid w:val="00FA2BB3"/>
    <w:rsid w:val="00FA3200"/>
    <w:rsid w:val="00FA49EC"/>
    <w:rsid w:val="00FB0480"/>
    <w:rsid w:val="00FB4C80"/>
    <w:rsid w:val="00FB6A6A"/>
    <w:rsid w:val="00FC39BC"/>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0FF7E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1932D"/>
  <w15:chartTrackingRefBased/>
  <w15:docId w15:val="{514E9FB5-E746-4950-8950-D048B9C47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151654"/>
    <w:pPr>
      <w:overflowPunct/>
      <w:autoSpaceDE/>
      <w:autoSpaceDN/>
      <w:adjustRightInd/>
      <w:spacing w:before="100" w:beforeAutospacing="1" w:after="100" w:afterAutospacing="1"/>
      <w:textAlignment w:val="auto"/>
    </w:pPr>
    <w:rPr>
      <w:sz w:val="24"/>
      <w:szCs w:val="24"/>
      <w:lang w:val="fi-FI" w:eastAsia="fi-FI"/>
    </w:rPr>
  </w:style>
  <w:style w:type="paragraph" w:customStyle="1" w:styleId="Agreement">
    <w:name w:val="Agreement"/>
    <w:basedOn w:val="Normal"/>
    <w:next w:val="Normal"/>
    <w:qFormat/>
    <w:rsid w:val="00151654"/>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ProposalChar">
    <w:name w:val="Proposal Char"/>
    <w:link w:val="Proposal"/>
    <w:qFormat/>
    <w:rsid w:val="00151654"/>
    <w:rPr>
      <w:rFonts w:ascii="Arial" w:hAnsi="Arial"/>
      <w:b/>
      <w:bCs/>
      <w:lang w:eastAsia="zh-CN"/>
    </w:rPr>
  </w:style>
  <w:style w:type="paragraph" w:styleId="Revision">
    <w:name w:val="Revision"/>
    <w:hidden/>
    <w:uiPriority w:val="99"/>
    <w:semiHidden/>
    <w:rsid w:val="00A4247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41916">
      <w:bodyDiv w:val="1"/>
      <w:marLeft w:val="0"/>
      <w:marRight w:val="0"/>
      <w:marTop w:val="0"/>
      <w:marBottom w:val="0"/>
      <w:divBdr>
        <w:top w:val="none" w:sz="0" w:space="0" w:color="auto"/>
        <w:left w:val="none" w:sz="0" w:space="0" w:color="auto"/>
        <w:bottom w:val="none" w:sz="0" w:space="0" w:color="auto"/>
        <w:right w:val="none" w:sz="0" w:space="0" w:color="auto"/>
      </w:divBdr>
      <w:divsChild>
        <w:div w:id="387920778">
          <w:marLeft w:val="0"/>
          <w:marRight w:val="0"/>
          <w:marTop w:val="0"/>
          <w:marBottom w:val="0"/>
          <w:divBdr>
            <w:top w:val="none" w:sz="0" w:space="0" w:color="auto"/>
            <w:left w:val="none" w:sz="0" w:space="0" w:color="auto"/>
            <w:bottom w:val="none" w:sz="0" w:space="0" w:color="auto"/>
            <w:right w:val="none" w:sz="0" w:space="0" w:color="auto"/>
          </w:divBdr>
        </w:div>
      </w:divsChild>
    </w:div>
    <w:div w:id="1290746860">
      <w:bodyDiv w:val="1"/>
      <w:marLeft w:val="0"/>
      <w:marRight w:val="0"/>
      <w:marTop w:val="0"/>
      <w:marBottom w:val="0"/>
      <w:divBdr>
        <w:top w:val="none" w:sz="0" w:space="0" w:color="auto"/>
        <w:left w:val="none" w:sz="0" w:space="0" w:color="auto"/>
        <w:bottom w:val="none" w:sz="0" w:space="0" w:color="auto"/>
        <w:right w:val="none" w:sz="0" w:space="0" w:color="auto"/>
      </w:divBdr>
    </w:div>
    <w:div w:id="1549949931">
      <w:bodyDiv w:val="1"/>
      <w:marLeft w:val="0"/>
      <w:marRight w:val="0"/>
      <w:marTop w:val="0"/>
      <w:marBottom w:val="0"/>
      <w:divBdr>
        <w:top w:val="none" w:sz="0" w:space="0" w:color="auto"/>
        <w:left w:val="none" w:sz="0" w:space="0" w:color="auto"/>
        <w:bottom w:val="none" w:sz="0" w:space="0" w:color="auto"/>
        <w:right w:val="none" w:sz="0" w:space="0" w:color="auto"/>
      </w:divBdr>
    </w:div>
    <w:div w:id="1954363495">
      <w:bodyDiv w:val="1"/>
      <w:marLeft w:val="0"/>
      <w:marRight w:val="0"/>
      <w:marTop w:val="0"/>
      <w:marBottom w:val="0"/>
      <w:divBdr>
        <w:top w:val="none" w:sz="0" w:space="0" w:color="auto"/>
        <w:left w:val="none" w:sz="0" w:space="0" w:color="auto"/>
        <w:bottom w:val="none" w:sz="0" w:space="0" w:color="auto"/>
        <w:right w:val="none" w:sz="0" w:space="0" w:color="auto"/>
      </w:divBdr>
    </w:div>
    <w:div w:id="20961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E4838-202C-48D0-9840-FCA5ABFE5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purl.org/dc/dcmitype/"/>
    <ds:schemaRef ds:uri="http://schemas.microsoft.com/office/infopath/2007/PartnerControls"/>
    <ds:schemaRef ds:uri="http://purl.org/dc/elements/1.1/"/>
    <ds:schemaRef ds:uri="http://schemas.microsoft.com/office/2006/documentManagement/types"/>
    <ds:schemaRef ds:uri="9b239327-9e80-40e4-b1b7-4394fed77a33"/>
    <ds:schemaRef ds:uri="http://purl.org/dc/terms/"/>
    <ds:schemaRef ds:uri="http://schemas.openxmlformats.org/package/2006/metadata/core-propertie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E64ECA7-35A6-45B8-8AD9-CF2AE8CF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4</Pages>
  <Words>1618</Words>
  <Characters>9482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11078</CharactersWithSpaces>
  <SharedDoc>false</SharedDoc>
  <HLinks>
    <vt:vector size="72" baseType="variant">
      <vt:variant>
        <vt:i4>2097216</vt:i4>
      </vt:variant>
      <vt:variant>
        <vt:i4>57</vt:i4>
      </vt:variant>
      <vt:variant>
        <vt:i4>0</vt:i4>
      </vt:variant>
      <vt:variant>
        <vt:i4>5</vt:i4>
      </vt:variant>
      <vt:variant>
        <vt:lpwstr>https://www.3gpp.org/ftp/tsg_ran/WG1_RL1/TSGR1_98b/Docs/R1-1911574.zip</vt:lpwstr>
      </vt:variant>
      <vt:variant>
        <vt:lpwstr/>
      </vt:variant>
      <vt:variant>
        <vt:i4>8192079</vt:i4>
      </vt:variant>
      <vt:variant>
        <vt:i4>54</vt:i4>
      </vt:variant>
      <vt:variant>
        <vt:i4>0</vt:i4>
      </vt:variant>
      <vt:variant>
        <vt:i4>5</vt:i4>
      </vt:variant>
      <vt:variant>
        <vt:lpwstr>https://www.3gpp.org/ftp/TSG_RAN/WG2_RL2/TSGR2_107/Docs/R2-1911607.zip</vt:lpwstr>
      </vt:variant>
      <vt:variant>
        <vt:lpwstr/>
      </vt:variant>
      <vt:variant>
        <vt:i4>1376296</vt:i4>
      </vt:variant>
      <vt:variant>
        <vt:i4>51</vt:i4>
      </vt:variant>
      <vt:variant>
        <vt:i4>0</vt:i4>
      </vt:variant>
      <vt:variant>
        <vt:i4>5</vt:i4>
      </vt:variant>
      <vt:variant>
        <vt:lpwstr>https://www.3gpp.org/ftp/TSG_RAN/WG2_RL2/TSGR2_107bis/Docs/R2-1913114.zip</vt:lpwstr>
      </vt:variant>
      <vt:variant>
        <vt:lpwstr/>
      </vt:variant>
      <vt:variant>
        <vt:i4>1245230</vt:i4>
      </vt:variant>
      <vt:variant>
        <vt:i4>48</vt:i4>
      </vt:variant>
      <vt:variant>
        <vt:i4>0</vt:i4>
      </vt:variant>
      <vt:variant>
        <vt:i4>5</vt:i4>
      </vt:variant>
      <vt:variant>
        <vt:lpwstr>https://www.3gpp.org/ftp/tsg_ran/WG2_RL2/TSGR2_107bis/Docs/R2-1914102.zip</vt:lpwstr>
      </vt:variant>
      <vt:variant>
        <vt:lpwstr/>
      </vt:variant>
      <vt:variant>
        <vt:i4>2555968</vt:i4>
      </vt:variant>
      <vt:variant>
        <vt:i4>45</vt:i4>
      </vt:variant>
      <vt:variant>
        <vt:i4>0</vt:i4>
      </vt:variant>
      <vt:variant>
        <vt:i4>5</vt:i4>
      </vt:variant>
      <vt:variant>
        <vt:lpwstr>https://www.3gpp.org/ftp/tsg_ran/WG1_RL1/TSGR1_98b/Docs/R1-1911573.zip</vt:lpwstr>
      </vt:variant>
      <vt:variant>
        <vt:lpwstr/>
      </vt:variant>
      <vt:variant>
        <vt:i4>1245240</vt:i4>
      </vt:variant>
      <vt:variant>
        <vt:i4>42</vt:i4>
      </vt:variant>
      <vt:variant>
        <vt:i4>0</vt:i4>
      </vt:variant>
      <vt:variant>
        <vt:i4>5</vt:i4>
      </vt:variant>
      <vt:variant>
        <vt:lpwstr>https://www.3gpp.org/ftp/tsg_ran/TSG_RAN/TSGR_84/Docs/RP-191356.zip</vt:lpwstr>
      </vt:variant>
      <vt:variant>
        <vt:lpwstr/>
      </vt:variant>
      <vt:variant>
        <vt:i4>1376318</vt:i4>
      </vt:variant>
      <vt:variant>
        <vt:i4>38</vt:i4>
      </vt:variant>
      <vt:variant>
        <vt:i4>0</vt:i4>
      </vt:variant>
      <vt:variant>
        <vt:i4>5</vt:i4>
      </vt:variant>
      <vt:variant>
        <vt:lpwstr/>
      </vt:variant>
      <vt:variant>
        <vt:lpwstr>_Toc23846025</vt:lpwstr>
      </vt:variant>
      <vt:variant>
        <vt:i4>1310782</vt:i4>
      </vt:variant>
      <vt:variant>
        <vt:i4>35</vt:i4>
      </vt:variant>
      <vt:variant>
        <vt:i4>0</vt:i4>
      </vt:variant>
      <vt:variant>
        <vt:i4>5</vt:i4>
      </vt:variant>
      <vt:variant>
        <vt:lpwstr/>
      </vt:variant>
      <vt:variant>
        <vt:lpwstr>_Toc23846024</vt:lpwstr>
      </vt:variant>
      <vt:variant>
        <vt:i4>1245246</vt:i4>
      </vt:variant>
      <vt:variant>
        <vt:i4>32</vt:i4>
      </vt:variant>
      <vt:variant>
        <vt:i4>0</vt:i4>
      </vt:variant>
      <vt:variant>
        <vt:i4>5</vt:i4>
      </vt:variant>
      <vt:variant>
        <vt:lpwstr/>
      </vt:variant>
      <vt:variant>
        <vt:lpwstr>_Toc23846023</vt:lpwstr>
      </vt:variant>
      <vt:variant>
        <vt:i4>1179710</vt:i4>
      </vt:variant>
      <vt:variant>
        <vt:i4>26</vt:i4>
      </vt:variant>
      <vt:variant>
        <vt:i4>0</vt:i4>
      </vt:variant>
      <vt:variant>
        <vt:i4>5</vt:i4>
      </vt:variant>
      <vt:variant>
        <vt:lpwstr/>
      </vt:variant>
      <vt:variant>
        <vt:lpwstr>_Toc23846022</vt:lpwstr>
      </vt:variant>
      <vt:variant>
        <vt:i4>1114174</vt:i4>
      </vt:variant>
      <vt:variant>
        <vt:i4>23</vt:i4>
      </vt:variant>
      <vt:variant>
        <vt:i4>0</vt:i4>
      </vt:variant>
      <vt:variant>
        <vt:i4>5</vt:i4>
      </vt:variant>
      <vt:variant>
        <vt:lpwstr/>
      </vt:variant>
      <vt:variant>
        <vt:lpwstr>_Toc23846021</vt:lpwstr>
      </vt:variant>
      <vt:variant>
        <vt:i4>1048638</vt:i4>
      </vt:variant>
      <vt:variant>
        <vt:i4>20</vt:i4>
      </vt:variant>
      <vt:variant>
        <vt:i4>0</vt:i4>
      </vt:variant>
      <vt:variant>
        <vt:i4>5</vt:i4>
      </vt:variant>
      <vt:variant>
        <vt:lpwstr/>
      </vt:variant>
      <vt:variant>
        <vt:lpwstr>_Toc23846020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Tuomas Tirronen</cp:lastModifiedBy>
  <cp:revision>177</cp:revision>
  <cp:lastPrinted>2008-01-31T16:09:00Z</cp:lastPrinted>
  <dcterms:created xsi:type="dcterms:W3CDTF">2019-09-18T16:17:00Z</dcterms:created>
  <dcterms:modified xsi:type="dcterms:W3CDTF">2019-11-07T19:11:00Z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AuthorIds_UIVersion_16896">
    <vt:lpwstr>2037</vt:lpwstr>
  </property>
  <property fmtid="{D5CDD505-2E9C-101B-9397-08002B2CF9AE}" pid="5" name="AuthorIds_UIVersion_8704">
    <vt:lpwstr>336</vt:lpwstr>
  </property>
  <property fmtid="{D5CDD505-2E9C-101B-9397-08002B2CF9AE}" pid="6" name="AuthorIds_UIVersion_5632">
    <vt:lpwstr>132</vt:lpwstr>
  </property>
  <property fmtid="{D5CDD505-2E9C-101B-9397-08002B2CF9AE}" pid="7" name="AuthorIds_UIVersion_512">
    <vt:lpwstr>2037</vt:lpwstr>
  </property>
  <property fmtid="{D5CDD505-2E9C-101B-9397-08002B2CF9AE}" pid="8" name="AuthorIds_UIVersion_2560">
    <vt:lpwstr>291</vt:lpwstr>
  </property>
  <property fmtid="{D5CDD505-2E9C-101B-9397-08002B2CF9AE}" pid="9" name="TaxKeyword">
    <vt:lpwstr>214;#3GPP|9a2d7407-05d0-42af-8d72-c0b9b807f3b0;#212;#TDoc|af4b50c5-3c78-4293-b1bd-3e717d5b6882;#497;#Ericsson|11111111-1111-1111-1111-111111111111</vt:lpwstr>
  </property>
  <property fmtid="{D5CDD505-2E9C-101B-9397-08002B2CF9AE}" pid="10" name="AuthorIds_UIVersion_4096">
    <vt:lpwstr>132</vt:lpwstr>
  </property>
  <property fmtid="{D5CDD505-2E9C-101B-9397-08002B2CF9AE}" pid="11" name="AuthorIds_UIVersion_17920">
    <vt:lpwstr>2037</vt:lpwstr>
  </property>
  <property fmtid="{D5CDD505-2E9C-101B-9397-08002B2CF9AE}" pid="12" name="AuthorIds_UIVersion_10240">
    <vt:lpwstr>336</vt:lpwstr>
  </property>
  <property fmtid="{D5CDD505-2E9C-101B-9397-08002B2CF9AE}" pid="13" name="AuthorIds_UIVersion_22016">
    <vt:lpwstr>336</vt:lpwstr>
  </property>
  <property fmtid="{D5CDD505-2E9C-101B-9397-08002B2CF9AE}" pid="14" name="_dlc_DocIdItemGuid">
    <vt:lpwstr>b6b6e4ed-5a8a-41f8-b8e0-78a9b1ce87b2</vt:lpwstr>
  </property>
  <property fmtid="{D5CDD505-2E9C-101B-9397-08002B2CF9AE}" pid="15" name="AuthorIds_UIVersion_10752">
    <vt:lpwstr>132</vt:lpwstr>
  </property>
  <property fmtid="{D5CDD505-2E9C-101B-9397-08002B2CF9AE}" pid="16" name="AuthorIds_UIVersion_18432">
    <vt:lpwstr>132</vt:lpwstr>
  </property>
  <property fmtid="{D5CDD505-2E9C-101B-9397-08002B2CF9AE}" pid="17" name="AuthorIds_UIVersion_14336">
    <vt:lpwstr>2037</vt:lpwstr>
  </property>
  <property fmtid="{D5CDD505-2E9C-101B-9397-08002B2CF9AE}" pid="18" name="AuthorIds_UIVersion_20480">
    <vt:lpwstr>347</vt:lpwstr>
  </property>
  <property fmtid="{D5CDD505-2E9C-101B-9397-08002B2CF9AE}" pid="19" name="AuthorIds_UIVersion_18944">
    <vt:lpwstr>1526</vt:lpwstr>
  </property>
  <property fmtid="{D5CDD505-2E9C-101B-9397-08002B2CF9AE}" pid="20" name="AuthorIds_UIVersion_11776">
    <vt:lpwstr>326</vt:lpwstr>
  </property>
  <property fmtid="{D5CDD505-2E9C-101B-9397-08002B2CF9AE}" pid="21" name="AuthorIds_UIVersion_19456">
    <vt:lpwstr>2037</vt:lpwstr>
  </property>
  <property fmtid="{D5CDD505-2E9C-101B-9397-08002B2CF9AE}" pid="22" name="AuthorIds_UIVersion_5120">
    <vt:lpwstr>132</vt:lpwstr>
  </property>
  <property fmtid="{D5CDD505-2E9C-101B-9397-08002B2CF9AE}" pid="23" name="AuthorIds_UIVersion_16384">
    <vt:lpwstr>291</vt:lpwstr>
  </property>
  <property fmtid="{D5CDD505-2E9C-101B-9397-08002B2CF9AE}" pid="24" name="AuthorIds_UIVersion_19968">
    <vt:lpwstr>2037</vt:lpwstr>
  </property>
  <property fmtid="{D5CDD505-2E9C-101B-9397-08002B2CF9AE}" pid="25" name="AuthorIds_UIVersion_4608">
    <vt:lpwstr>132</vt:lpwstr>
  </property>
  <property fmtid="{D5CDD505-2E9C-101B-9397-08002B2CF9AE}" pid="26" name="AuthorIds_UIVersion_9216">
    <vt:lpwstr>132</vt:lpwstr>
  </property>
  <property fmtid="{D5CDD505-2E9C-101B-9397-08002B2CF9AE}" pid="27" name="AuthorIds_UIVersion_1536">
    <vt:lpwstr>291</vt:lpwstr>
  </property>
  <property fmtid="{D5CDD505-2E9C-101B-9397-08002B2CF9AE}" pid="28" name="AuthorIds_UIVersion_6144">
    <vt:lpwstr>132</vt:lpwstr>
  </property>
  <property fmtid="{D5CDD505-2E9C-101B-9397-08002B2CF9AE}" pid="29" name="AuthorIds_UIVersion_9728">
    <vt:lpwstr>336</vt:lpwstr>
  </property>
  <property fmtid="{D5CDD505-2E9C-101B-9397-08002B2CF9AE}" pid="30" name="AuthorIds_UIVersion_3072">
    <vt:lpwstr>2037</vt:lpwstr>
  </property>
  <property fmtid="{D5CDD505-2E9C-101B-9397-08002B2CF9AE}" pid="31" name="AuthorIds_UIVersion_6656">
    <vt:lpwstr>1526</vt:lpwstr>
  </property>
  <property fmtid="{D5CDD505-2E9C-101B-9397-08002B2CF9AE}" pid="32" name="AuthorIds_UIVersion_3584">
    <vt:lpwstr>132</vt:lpwstr>
  </property>
</Properties>
</file>